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44"/>
        </w:rPr>
        <w:t>Nexum Financial Advisors</w:t>
      </w:r>
    </w:p>
    <w:p>
      <w:pPr>
        <w:jc w:val="center"/>
      </w:pPr>
      <w:r>
        <w:rPr>
          <w:i w:val="0"/>
          <w:sz w:val="28"/>
        </w:rPr>
        <w:t>Investment Policy Statement e Informe de Estrategia de Inversión</w:t>
      </w:r>
    </w:p>
    <w:p>
      <w:pPr>
        <w:jc w:val="center"/>
      </w:pPr>
      <w:r>
        <w:rPr>
          <w:i w:val="0"/>
        </w:rPr>
        <w:t>Familia Allende Cunich · Mandato USD 150.000 + aportes anuales</w:t>
      </w:r>
    </w:p>
    <w:p>
      <w:pPr>
        <w:jc w:val="center"/>
      </w:pPr>
      <w:r>
        <w:rPr>
          <w:i/>
        </w:rPr>
        <w:t>Grupo 11 — M. José Iannello, Martín Lillo, Francisca Morales, Vicente Salah, Matías Torres</w:t>
      </w:r>
    </w:p>
    <w:p>
      <w:pPr>
        <w:jc w:val="center"/>
      </w:pPr>
      <w:r>
        <w:rPr>
          <w:i/>
          <w:sz w:val="18"/>
        </w:rPr>
        <w:t>ESF 2026-2 · Universidad Adolfo Ibáñez · Datos de mercado al 31-ago-2026; implementación al 5-oct-2026</w:t>
      </w:r>
    </w:p>
    <w:p>
      <w:pPr>
        <w:jc w:val="center"/>
      </w:pPr>
      <w:r>
        <w:rPr>
          <w:i/>
          <w:sz w:val="17"/>
        </w:rPr>
        <w:t>Todas las cifras de este documento son reproducibles con codigo/run_all.py y coinciden con modelo/Modelo_Nexum_v2.xlsx.</w:t>
      </w:r>
    </w:p>
    <w:p>
      <w:r>
        <w:br w:type="page"/>
      </w:r>
    </w:p>
    <w:p>
      <w:pPr>
        <w:pStyle w:val="Heading1"/>
      </w:pPr>
      <w:r>
        <w:t>1. Resumen ejecutivo</w:t>
      </w:r>
    </w:p>
    <w:p>
      <w:r>
        <w:rPr>
          <w:b/>
        </w:rPr>
        <w:t xml:space="preserve">La pregunta del cliente: </w:t>
      </w:r>
      <w:r>
        <w:rPr>
          <w:i w:val="0"/>
        </w:rPr>
        <w:t xml:space="preserve">¿Se cumplen los objetivos de la familia y con qué riesgo? </w:t>
      </w:r>
    </w:p>
    <w:p>
      <w:pPr>
        <w:pStyle w:val="ListBullet"/>
      </w:pPr>
      <w:r>
        <w:rPr>
          <w:b/>
        </w:rPr>
        <w:t xml:space="preserve">Retorno requerido. </w:t>
      </w:r>
      <w:r>
        <w:t>Para financiar Educación, Villarrica y la herencia con USD 150.000 y 19 aportes de USD 10.000, la cartera debe rendir 4,56% real anual (TIR de los flujos del enunciado). Con supuestos más exigentes y fieles al caso —aportes en USD nominales, arancel creciendo 2% real, 14 años efectivos de aportes— el requerimiento sube a 5,6%.</w:t>
      </w:r>
    </w:p>
    <w:p>
      <w:pPr>
        <w:pStyle w:val="ListBullet"/>
      </w:pPr>
      <w:r>
        <w:rPr>
          <w:b/>
        </w:rPr>
        <w:t xml:space="preserve">Factibilidad. </w:t>
      </w:r>
      <w:r>
        <w:t>A la tasa real libre de riesgo (2,5%), los objetivos valen USD 492.981 y los recursos USD 299.789: cobertura de 0,61x. El plan exige capturar prima por riesgo. Villarrica explica 56% del valor presente de los objetivos.</w:t>
      </w:r>
    </w:p>
    <w:p>
      <w:pPr>
        <w:pStyle w:val="ListBullet"/>
      </w:pPr>
      <w:r>
        <w:rPr>
          <w:b/>
        </w:rPr>
        <w:t xml:space="preserve">Asignación. </w:t>
      </w:r>
      <w:r>
        <w:t>Núcleo pasivo 69,4% (S&amp;P 500 37,9%, Tesoro 10-20 años 16,9%, corporativos largos 14,6%) y satélite activo 30,6% (Low-Volatility 17,5%, Momentum en acciones 7,1%, Momentum en commodities 6,1%), obtenido con Black-Litterman. Renta variable efectiva 62%.</w:t>
      </w:r>
    </w:p>
    <w:p>
      <w:pPr>
        <w:pStyle w:val="ListBullet"/>
      </w:pPr>
      <w:r>
        <w:rPr>
          <w:b/>
        </w:rPr>
        <w:t xml:space="preserve">Probabilidad de éxito. </w:t>
      </w:r>
      <w:r>
        <w:t>Educación se cumple en ~100% de los escenarios simulados, en USD y en UF. Con retornos históricos 2013-2026, los tres objetivos se cumplen con 96,0% (89,6% medido en UF). Con supuestos prospectivos prudentes —retorno real esperado 4,6%, prácticamente igual al requerido— la probabilidad conjunta es 46,5%.</w:t>
      </w:r>
    </w:p>
    <w:p>
      <w:pPr>
        <w:pStyle w:val="ListBullet"/>
      </w:pPr>
      <w:r>
        <w:rPr>
          <w:b/>
        </w:rPr>
        <w:t xml:space="preserve">Frente a la cartera actual de la AGF (85/15). </w:t>
      </w:r>
      <w:r>
        <w:t>La AGF rindió más en 2016-2026 (12,7% vs 9,9% anual) por su 76,5% en el S&amp;P 500, con mayor volatilidad, caídas más profundas y ~26% de exposición a tecnología (el mismo riesgo del empleo de Tomás; Nexum ~14%). Hacia adelante, Nexum entrega mayor probabilidad de éxito (45,3% vs 38,4% en UF).</w:t>
      </w:r>
    </w:p>
    <w:p>
      <w:pPr>
        <w:pStyle w:val="ListBullet"/>
      </w:pPr>
      <w:r>
        <w:rPr>
          <w:b/>
        </w:rPr>
        <w:t xml:space="preserve">Gestión activa. </w:t>
      </w:r>
      <w:r>
        <w:t>Tracking error ex-ante 2,0% (objetivo 3%, máximo 4%) e information ratio 0,18 frente al benchmark de política en 2016-2026.</w:t>
      </w:r>
    </w:p>
    <w:p>
      <w:pPr>
        <w:pStyle w:val="ListBullet"/>
      </w:pPr>
      <w:r>
        <w:rPr>
          <w:b/>
        </w:rPr>
        <w:t xml:space="preserve">Recomendación. </w:t>
      </w:r>
      <w:r>
        <w:t>Mantener la asignación, proteger Educación como prioridad 1 y acordar con la familia el orden de ajuste si el mercado no entrega el retorno requerido: primero la herencia, luego Villarrica, nunca Educación. Reducir Villarrica 25% y la herencia a USD 250.000 eleva la probabilidad conjunta prospectiva de 46,5% a 74,8%.</w:t>
      </w:r>
    </w:p>
    <w:p>
      <w:r>
        <w:br w:type="page"/>
      </w:r>
    </w:p>
    <w:p>
      <w:pPr>
        <w:pStyle w:val="Heading1"/>
      </w:pPr>
      <w:r>
        <w:t>2. Investment Policy Statement</w:t>
      </w:r>
    </w:p>
    <w:p>
      <w:pPr>
        <w:pStyle w:val="Heading2"/>
      </w:pPr>
      <w:r>
        <w:t>2.1 Propósito y alcance</w:t>
      </w:r>
    </w:p>
    <w:p>
      <w:r>
        <w:rPr>
          <w:i w:val="0"/>
        </w:rPr>
        <w:t>Este IPS es el acuerdo entre Nexum Financial Advisors (el Asesor) y María Ignacia Cunich y Tomás Allende (el Cliente) para administrar USD 150.000 hoy invertidos en fondos mutuos de una AGF chilena, más aportes de USD 10.000 cada abril hasta que Tomás cumpla 65 años. Define objetivos, restricciones, asignación de activos, reglas de selección y rebalanceo, métricas de evaluación y la política de revisión. Toda decisión de inversión se toma dentro de este marco.</w:t>
      </w:r>
    </w:p>
    <w:p>
      <w:pPr>
        <w:pStyle w:val="Heading2"/>
      </w:pPr>
      <w:r>
        <w:t>2.2 Deberes y responsabilidades</w:t>
      </w:r>
    </w:p>
    <w:p>
      <w:r>
        <w:rPr>
          <w:i w:val="0"/>
        </w:rPr>
        <w:t>El Asesor actúa como fiduciario, bajo el Código de Ética y los Estándares de Conducta Profesional del CFA Institute y la normativa de la CMF. Sus responsabilidades: recomendar una asignación coherente con el perfil, seleccionar los instrumentos, ejecutar y rebalancear, monitorear el desempeño contra el benchmark e informar al Cliente. El Cliente debe informar oportunamente cualquier cambio material (empleo, patrimonio, objetivos), lo que gatilla la revisión de este IPS.</w:t>
      </w:r>
    </w:p>
    <w:tbl>
      <w:tblPr>
        <w:tblStyle w:val="TableGrid"/>
        <w:tblW w:type="auto" w:w="0"/>
        <w:jc w:val="center"/>
        <w:tblLook w:firstColumn="1" w:firstRow="1" w:lastColumn="0" w:lastRow="0" w:noHBand="0" w:noVBand="1" w:val="04A0"/>
      </w:tblPr>
      <w:tblGrid>
        <w:gridCol w:w="4816"/>
        <w:gridCol w:w="4816"/>
      </w:tblGrid>
      <w:tr>
        <w:tc>
          <w:tcPr>
            <w:tcW w:type="dxa" w:w="6520"/>
            <w:shd w:val="clear" w:color="auto" w:fill="1F3A5F"/>
          </w:tcPr>
          <w:p>
            <w:r/>
            <w:r>
              <w:rPr>
                <w:b/>
                <w:color w:val="FFFFFF"/>
                <w:sz w:val="17"/>
              </w:rPr>
              <w:t>Control de cumplimiento (CMF / Ley 19.913)</w:t>
            </w:r>
          </w:p>
        </w:tc>
        <w:tc>
          <w:tcPr>
            <w:tcW w:type="dxa" w:w="2551"/>
            <w:shd w:val="clear" w:color="auto" w:fill="1F3A5F"/>
          </w:tcPr>
          <w:p>
            <w:r/>
            <w:r>
              <w:rPr>
                <w:b/>
                <w:color w:val="FFFFFF"/>
                <w:sz w:val="17"/>
              </w:rPr>
              <w:t>Meta medible</w:t>
            </w:r>
          </w:p>
        </w:tc>
      </w:tr>
      <w:tr>
        <w:tc>
          <w:tcPr>
            <w:tcW w:type="dxa" w:w="6520"/>
          </w:tcPr>
          <w:p>
            <w:r/>
            <w:r>
              <w:rPr>
                <w:sz w:val="17"/>
              </w:rPr>
              <w:t>Conozca a su cliente: identidad, condición de Persona Expuesta Políticamente y perfil transaccional</w:t>
            </w:r>
          </w:p>
        </w:tc>
        <w:tc>
          <w:tcPr>
            <w:tcW w:type="dxa" w:w="2551"/>
          </w:tcPr>
          <w:p>
            <w:r/>
            <w:r>
              <w:rPr>
                <w:sz w:val="17"/>
              </w:rPr>
              <w:t>100% antes de operar</w:t>
            </w:r>
          </w:p>
        </w:tc>
      </w:tr>
      <w:tr>
        <w:tc>
          <w:tcPr>
            <w:tcW w:type="dxa" w:w="6520"/>
            <w:shd w:val="clear" w:color="auto" w:fill="F2F5F9"/>
          </w:tcPr>
          <w:p>
            <w:r/>
            <w:r>
              <w:rPr>
                <w:sz w:val="17"/>
              </w:rPr>
              <w:t>Origen de fondos: acreditar que los USD 150.000 provienen de ahorro laboral en una AGF regulada; documentar cada aporte anual</w:t>
            </w:r>
          </w:p>
        </w:tc>
        <w:tc>
          <w:tcPr>
            <w:tcW w:type="dxa" w:w="2551"/>
            <w:shd w:val="clear" w:color="auto" w:fill="F2F5F9"/>
          </w:tcPr>
          <w:p>
            <w:r/>
            <w:r>
              <w:rPr>
                <w:sz w:val="17"/>
              </w:rPr>
              <w:t>100% de los aportes</w:t>
            </w:r>
          </w:p>
        </w:tc>
      </w:tr>
      <w:tr>
        <w:tc>
          <w:tcPr>
            <w:tcW w:type="dxa" w:w="6520"/>
          </w:tcPr>
          <w:p>
            <w:r/>
            <w:r>
              <w:rPr>
                <w:sz w:val="17"/>
              </w:rPr>
              <w:t>Monitoreo de operaciones inusuales respecto del perfil (montos o movimientos no explicados)</w:t>
            </w:r>
          </w:p>
        </w:tc>
        <w:tc>
          <w:tcPr>
            <w:tcW w:type="dxa" w:w="2551"/>
          </w:tcPr>
          <w:p>
            <w:r/>
            <w:r>
              <w:rPr>
                <w:sz w:val="17"/>
              </w:rPr>
              <w:t>Revisión mensual</w:t>
            </w:r>
          </w:p>
        </w:tc>
      </w:tr>
      <w:tr>
        <w:tc>
          <w:tcPr>
            <w:tcW w:type="dxa" w:w="6520"/>
            <w:shd w:val="clear" w:color="auto" w:fill="F2F5F9"/>
          </w:tcPr>
          <w:p>
            <w:r/>
            <w:r>
              <w:rPr>
                <w:sz w:val="17"/>
              </w:rPr>
              <w:t>Reporte de Operación Sospechosa a la UAF, con deber de reserva</w:t>
            </w:r>
          </w:p>
        </w:tc>
        <w:tc>
          <w:tcPr>
            <w:tcW w:type="dxa" w:w="2551"/>
            <w:shd w:val="clear" w:color="auto" w:fill="F2F5F9"/>
          </w:tcPr>
          <w:p>
            <w:r/>
            <w:r>
              <w:rPr>
                <w:sz w:val="17"/>
              </w:rPr>
              <w:t>Dentro de 48 horas desde la detección</w:t>
            </w:r>
          </w:p>
        </w:tc>
      </w:tr>
      <w:tr>
        <w:tc>
          <w:tcPr>
            <w:tcW w:type="dxa" w:w="6520"/>
          </w:tcPr>
          <w:p>
            <w:r/>
            <w:r>
              <w:rPr>
                <w:sz w:val="17"/>
              </w:rPr>
              <w:t>Actualización del perfil e idoneidad de los instrumentos</w:t>
            </w:r>
          </w:p>
        </w:tc>
        <w:tc>
          <w:tcPr>
            <w:tcW w:type="dxa" w:w="2551"/>
          </w:tcPr>
          <w:p>
            <w:r/>
            <w:r>
              <w:rPr>
                <w:sz w:val="17"/>
              </w:rPr>
              <w:t>Anual o ante un cambio material</w:t>
            </w:r>
          </w:p>
        </w:tc>
      </w:tr>
      <w:tr>
        <w:tc>
          <w:tcPr>
            <w:tcW w:type="dxa" w:w="6520"/>
            <w:shd w:val="clear" w:color="auto" w:fill="F2F5F9"/>
          </w:tcPr>
          <w:p>
            <w:r/>
            <w:r>
              <w:rPr>
                <w:sz w:val="17"/>
              </w:rPr>
              <w:t>Conservación de registros</w:t>
            </w:r>
          </w:p>
        </w:tc>
        <w:tc>
          <w:tcPr>
            <w:tcW w:type="dxa" w:w="2551"/>
            <w:shd w:val="clear" w:color="auto" w:fill="F2F5F9"/>
          </w:tcPr>
          <w:p>
            <w:r/>
            <w:r>
              <w:rPr>
                <w:sz w:val="17"/>
              </w:rPr>
              <w:t>Mínimo 5 años</w:t>
            </w:r>
          </w:p>
        </w:tc>
      </w:tr>
    </w:tbl>
    <w:p/>
    <w:p>
      <w:pPr>
        <w:pStyle w:val="Heading2"/>
      </w:pPr>
      <w:r>
        <w:t>2.3 Perfil del inversionista</w:t>
      </w:r>
    </w:p>
    <w:p>
      <w:r>
        <w:rPr>
          <w:i w:val="0"/>
        </w:rPr>
        <w:t>María Ignacia (40 años, abogada en consumo masivo) y Tomás (46, ingeniero en software) tienen dos hijos (Vicente, 4; Emilia, 2), ingresos estables y educación financiera media, sin experiencia en derivados ni criptoactivos. El perfil distingue dos dimensiones:</w:t>
      </w:r>
    </w:p>
    <w:tbl>
      <w:tblPr>
        <w:tblStyle w:val="TableGrid"/>
        <w:tblW w:type="auto" w:w="0"/>
        <w:jc w:val="center"/>
        <w:tblLook w:firstColumn="1" w:firstRow="1" w:lastColumn="0" w:lastRow="0" w:noHBand="0" w:noVBand="1" w:val="04A0"/>
      </w:tblPr>
      <w:tblGrid>
        <w:gridCol w:w="3211"/>
        <w:gridCol w:w="3211"/>
        <w:gridCol w:w="3211"/>
      </w:tblGrid>
      <w:tr>
        <w:tc>
          <w:tcPr>
            <w:tcW w:type="dxa" w:w="1928"/>
            <w:shd w:val="clear" w:color="auto" w:fill="1F3A5F"/>
          </w:tcPr>
          <w:p>
            <w:r/>
            <w:r>
              <w:rPr>
                <w:b/>
                <w:color w:val="FFFFFF"/>
                <w:sz w:val="17"/>
              </w:rPr>
              <w:t>Dimensión</w:t>
            </w:r>
          </w:p>
        </w:tc>
        <w:tc>
          <w:tcPr>
            <w:tcW w:type="dxa" w:w="4309"/>
            <w:shd w:val="clear" w:color="auto" w:fill="1F3A5F"/>
          </w:tcPr>
          <w:p>
            <w:r/>
            <w:r>
              <w:rPr>
                <w:b/>
                <w:color w:val="FFFFFF"/>
                <w:sz w:val="17"/>
              </w:rPr>
              <w:t>Evidencia</w:t>
            </w:r>
          </w:p>
        </w:tc>
        <w:tc>
          <w:tcPr>
            <w:tcW w:type="dxa" w:w="2835"/>
            <w:shd w:val="clear" w:color="auto" w:fill="1F3A5F"/>
          </w:tcPr>
          <w:p>
            <w:r/>
            <w:r>
              <w:rPr>
                <w:b/>
                <w:color w:val="FFFFFF"/>
                <w:sz w:val="17"/>
              </w:rPr>
              <w:t>Conclusión</w:t>
            </w:r>
          </w:p>
        </w:tc>
      </w:tr>
      <w:tr>
        <w:tc>
          <w:tcPr>
            <w:tcW w:type="dxa" w:w="1928"/>
          </w:tcPr>
          <w:p>
            <w:r/>
            <w:r>
              <w:rPr>
                <w:sz w:val="17"/>
              </w:rPr>
              <w:t>Capacidad de riesgo (objetiva)</w:t>
            </w:r>
          </w:p>
        </w:tc>
        <w:tc>
          <w:tcPr>
            <w:tcW w:type="dxa" w:w="4309"/>
          </w:tcPr>
          <w:p>
            <w:r/>
            <w:r>
              <w:rPr>
                <w:sz w:val="17"/>
              </w:rPr>
              <w:t>Capital USD 150.000 + valor presente de los aportes (~USD 150.000 a 2,5% real); sin necesidades de liquidez hasta el año 14; horizonte hasta 50 años</w:t>
            </w:r>
          </w:p>
        </w:tc>
        <w:tc>
          <w:tcPr>
            <w:tcW w:type="dxa" w:w="2835"/>
          </w:tcPr>
          <w:p>
            <w:r/>
            <w:r>
              <w:rPr>
                <w:sz w:val="17"/>
              </w:rPr>
              <w:t>Alta en el largo plazo; decreciente frente a Educación (años 14-20)</w:t>
            </w:r>
          </w:p>
        </w:tc>
      </w:tr>
      <w:tr>
        <w:tc>
          <w:tcPr>
            <w:tcW w:type="dxa" w:w="1928"/>
            <w:shd w:val="clear" w:color="auto" w:fill="F2F5F9"/>
          </w:tcPr>
          <w:p>
            <w:r/>
            <w:r>
              <w:rPr>
                <w:sz w:val="17"/>
              </w:rPr>
              <w:t>Disposición al riesgo (conductual)</w:t>
            </w:r>
          </w:p>
        </w:tc>
        <w:tc>
          <w:tcPr>
            <w:tcW w:type="dxa" w:w="4309"/>
            <w:shd w:val="clear" w:color="auto" w:fill="F2F5F9"/>
          </w:tcPr>
          <w:p>
            <w:r/>
            <w:r>
              <w:rPr>
                <w:sz w:val="17"/>
              </w:rPr>
              <w:t>Toleran hoy 85% en activos de riesgo (cartera AGF) y piden activamente commodities y alternativos</w:t>
            </w:r>
          </w:p>
        </w:tc>
        <w:tc>
          <w:tcPr>
            <w:tcW w:type="dxa" w:w="2835"/>
            <w:shd w:val="clear" w:color="auto" w:fill="F2F5F9"/>
          </w:tcPr>
          <w:p>
            <w:r/>
            <w:r>
              <w:rPr>
                <w:sz w:val="17"/>
              </w:rPr>
              <w:t>Moderada-agresiva; renta variable de 60-65%</w:t>
            </w:r>
          </w:p>
        </w:tc>
      </w:tr>
      <w:tr>
        <w:tc>
          <w:tcPr>
            <w:tcW w:type="dxa" w:w="1928"/>
          </w:tcPr>
          <w:p>
            <w:r/>
            <w:r>
              <w:rPr>
                <w:sz w:val="17"/>
              </w:rPr>
              <w:t>Capital humano</w:t>
            </w:r>
          </w:p>
        </w:tc>
        <w:tc>
          <w:tcPr>
            <w:tcW w:type="dxa" w:w="4309"/>
          </w:tcPr>
          <w:p>
            <w:r/>
            <w:r>
              <w:rPr>
                <w:sz w:val="17"/>
              </w:rPr>
              <w:t>El ingreso de Tomás depende del sector software (se comporta como una acción tecnológica); el de María Ignacia, de consumo masivo (como un bono)</w:t>
            </w:r>
          </w:p>
        </w:tc>
        <w:tc>
          <w:tcPr>
            <w:tcW w:type="dxa" w:w="2835"/>
          </w:tcPr>
          <w:p>
            <w:r/>
            <w:r>
              <w:rPr>
                <w:sz w:val="17"/>
              </w:rPr>
              <w:t>Limitar tecnología: ~14% en Nexum vs ~26% en la AGF</w:t>
            </w:r>
          </w:p>
        </w:tc>
      </w:tr>
      <w:tr>
        <w:tc>
          <w:tcPr>
            <w:tcW w:type="dxa" w:w="1928"/>
            <w:shd w:val="clear" w:color="auto" w:fill="F2F5F9"/>
          </w:tcPr>
          <w:p>
            <w:r/>
            <w:r>
              <w:rPr>
                <w:sz w:val="17"/>
              </w:rPr>
              <w:t>Aversión al riesgo (A)</w:t>
            </w:r>
          </w:p>
        </w:tc>
        <w:tc>
          <w:tcPr>
            <w:tcW w:type="dxa" w:w="4309"/>
            <w:shd w:val="clear" w:color="auto" w:fill="F2F5F9"/>
          </w:tcPr>
          <w:p>
            <w:r/>
            <w:r>
              <w:rPr>
                <w:sz w:val="17"/>
              </w:rPr>
              <w:t>A del inversionista de mercado (S&amp;P 500, 2013-2026) = 6,7; A implícito en la cartera recomendada = 3,3; δ de Black-Litterman = 2,5</w:t>
            </w:r>
          </w:p>
        </w:tc>
        <w:tc>
          <w:tcPr>
            <w:tcW w:type="dxa" w:w="2835"/>
            <w:shd w:val="clear" w:color="auto" w:fill="F2F5F9"/>
          </w:tcPr>
          <w:p>
            <w:r/>
            <w:r>
              <w:rPr>
                <w:sz w:val="17"/>
              </w:rPr>
              <w:t>El cliente acepta más riesgo que el inversionista promedio, coherente con su horizonte</w:t>
            </w:r>
          </w:p>
        </w:tc>
      </w:tr>
    </w:tbl>
    <w:p/>
    <w:p>
      <w:r>
        <w:rPr>
          <w:i/>
          <w:sz w:val="18"/>
        </w:rPr>
        <w:t>El cuestionario de tolerancia al riesgo (Grable y Lytton) se aplicará directamente a ambos clientes en la reunión de inicio; si su resultado difiere de este perfil, se revisará el IPS. No se usan respuestas simuladas.</w:t>
      </w:r>
    </w:p>
    <w:p>
      <w:pPr>
        <w:pStyle w:val="Heading2"/>
      </w:pPr>
      <w:r>
        <w:t>2.4 Objetivos, prioridad y horizontes</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850"/>
            <w:shd w:val="clear" w:color="auto" w:fill="1F3A5F"/>
          </w:tcPr>
          <w:p>
            <w:r/>
            <w:r>
              <w:rPr>
                <w:b/>
                <w:color w:val="FFFFFF"/>
                <w:sz w:val="17"/>
              </w:rPr>
              <w:t>Prioridad</w:t>
            </w:r>
          </w:p>
        </w:tc>
        <w:tc>
          <w:tcPr>
            <w:tcW w:type="dxa" w:w="3628"/>
            <w:shd w:val="clear" w:color="auto" w:fill="1F3A5F"/>
          </w:tcPr>
          <w:p>
            <w:r/>
            <w:r>
              <w:rPr>
                <w:b/>
                <w:color w:val="FFFFFF"/>
                <w:sz w:val="17"/>
              </w:rPr>
              <w:t>Objetivo (moneda del cliente)</w:t>
            </w:r>
          </w:p>
        </w:tc>
        <w:tc>
          <w:tcPr>
            <w:tcW w:type="dxa" w:w="1077"/>
            <w:shd w:val="clear" w:color="auto" w:fill="1F3A5F"/>
          </w:tcPr>
          <w:p>
            <w:r/>
            <w:r>
              <w:rPr>
                <w:b/>
                <w:color w:val="FFFFFF"/>
                <w:sz w:val="17"/>
              </w:rPr>
              <w:t>Años</w:t>
            </w:r>
          </w:p>
        </w:tc>
        <w:tc>
          <w:tcPr>
            <w:tcW w:type="dxa" w:w="907"/>
            <w:shd w:val="clear" w:color="auto" w:fill="1F3A5F"/>
          </w:tcPr>
          <w:p>
            <w:r/>
            <w:r>
              <w:rPr>
                <w:b/>
                <w:color w:val="FFFFFF"/>
                <w:sz w:val="17"/>
              </w:rPr>
              <w:t>UF</w:t>
            </w:r>
          </w:p>
        </w:tc>
        <w:tc>
          <w:tcPr>
            <w:tcW w:type="dxa" w:w="1077"/>
            <w:shd w:val="clear" w:color="auto" w:fill="1F3A5F"/>
          </w:tcPr>
          <w:p>
            <w:r/>
            <w:r>
              <w:rPr>
                <w:b/>
                <w:color w:val="FFFFFF"/>
                <w:sz w:val="17"/>
              </w:rPr>
              <w:t>USD reales</w:t>
            </w:r>
          </w:p>
        </w:tc>
        <w:tc>
          <w:tcPr>
            <w:tcW w:type="dxa" w:w="1531"/>
            <w:shd w:val="clear" w:color="auto" w:fill="1F3A5F"/>
          </w:tcPr>
          <w:p>
            <w:r/>
            <w:r>
              <w:rPr>
                <w:b/>
                <w:color w:val="FFFFFF"/>
                <w:sz w:val="17"/>
              </w:rPr>
              <w:t>Flexibilidad</w:t>
            </w:r>
          </w:p>
        </w:tc>
      </w:tr>
      <w:tr>
        <w:tc>
          <w:tcPr>
            <w:tcW w:type="dxa" w:w="850"/>
          </w:tcPr>
          <w:p>
            <w:r/>
            <w:r>
              <w:rPr>
                <w:sz w:val="17"/>
              </w:rPr>
              <w:t>1</w:t>
            </w:r>
          </w:p>
        </w:tc>
        <w:tc>
          <w:tcPr>
            <w:tcW w:type="dxa" w:w="3628"/>
          </w:tcPr>
          <w:p>
            <w:r/>
            <w:r>
              <w:rPr>
                <w:sz w:val="17"/>
              </w:rPr>
              <w:t>Educación: CLP 65 millones por hijo, en 5 pagos anuales</w:t>
            </w:r>
          </w:p>
        </w:tc>
        <w:tc>
          <w:tcPr>
            <w:tcW w:type="dxa" w:w="1077"/>
          </w:tcPr>
          <w:p>
            <w:r/>
            <w:r>
              <w:rPr>
                <w:sz w:val="17"/>
              </w:rPr>
              <w:t>14-18 y 16-20</w:t>
            </w:r>
          </w:p>
        </w:tc>
        <w:tc>
          <w:tcPr>
            <w:tcW w:type="dxa" w:w="907"/>
          </w:tcPr>
          <w:p>
            <w:r/>
            <w:r>
              <w:rPr>
                <w:sz w:val="17"/>
              </w:rPr>
              <w:t>3.183</w:t>
            </w:r>
          </w:p>
        </w:tc>
        <w:tc>
          <w:tcPr>
            <w:tcW w:type="dxa" w:w="1077"/>
          </w:tcPr>
          <w:p>
            <w:r/>
            <w:r>
              <w:rPr>
                <w:sz w:val="17"/>
              </w:rPr>
              <w:t>142.580</w:t>
            </w:r>
          </w:p>
        </w:tc>
        <w:tc>
          <w:tcPr>
            <w:tcW w:type="dxa" w:w="1531"/>
          </w:tcPr>
          <w:p>
            <w:r/>
            <w:r>
              <w:rPr>
                <w:sz w:val="17"/>
              </w:rPr>
              <w:t>Rígida, no diferible</w:t>
            </w:r>
          </w:p>
        </w:tc>
      </w:tr>
      <w:tr>
        <w:tc>
          <w:tcPr>
            <w:tcW w:type="dxa" w:w="850"/>
            <w:shd w:val="clear" w:color="auto" w:fill="F2F5F9"/>
          </w:tcPr>
          <w:p>
            <w:r/>
            <w:r>
              <w:rPr>
                <w:sz w:val="17"/>
              </w:rPr>
              <w:t>2</w:t>
            </w:r>
          </w:p>
        </w:tc>
        <w:tc>
          <w:tcPr>
            <w:tcW w:type="dxa" w:w="3628"/>
            <w:shd w:val="clear" w:color="auto" w:fill="F2F5F9"/>
          </w:tcPr>
          <w:p>
            <w:r/>
            <w:r>
              <w:rPr>
                <w:sz w:val="17"/>
              </w:rPr>
              <w:t>Villarrica: desembolso UF 10.500 (UF 15.000 adicionales vienen de la venta de la casa, fuera de la cartera)</w:t>
            </w:r>
          </w:p>
        </w:tc>
        <w:tc>
          <w:tcPr>
            <w:tcW w:type="dxa" w:w="1077"/>
            <w:shd w:val="clear" w:color="auto" w:fill="F2F5F9"/>
          </w:tcPr>
          <w:p>
            <w:r/>
            <w:r>
              <w:rPr>
                <w:sz w:val="17"/>
              </w:rPr>
              <w:t>25</w:t>
            </w:r>
          </w:p>
        </w:tc>
        <w:tc>
          <w:tcPr>
            <w:tcW w:type="dxa" w:w="907"/>
            <w:shd w:val="clear" w:color="auto" w:fill="F2F5F9"/>
          </w:tcPr>
          <w:p>
            <w:r/>
            <w:r>
              <w:rPr>
                <w:sz w:val="17"/>
              </w:rPr>
              <w:t>10.500</w:t>
            </w:r>
          </w:p>
        </w:tc>
        <w:tc>
          <w:tcPr>
            <w:tcW w:type="dxa" w:w="1077"/>
            <w:shd w:val="clear" w:color="auto" w:fill="F2F5F9"/>
          </w:tcPr>
          <w:p>
            <w:r/>
            <w:r>
              <w:rPr>
                <w:sz w:val="17"/>
              </w:rPr>
              <w:t>470.385</w:t>
            </w:r>
          </w:p>
        </w:tc>
        <w:tc>
          <w:tcPr>
            <w:tcW w:type="dxa" w:w="1531"/>
            <w:shd w:val="clear" w:color="auto" w:fill="F2F5F9"/>
          </w:tcPr>
          <w:p>
            <w:r/>
            <w:r>
              <w:rPr>
                <w:sz w:val="17"/>
              </w:rPr>
              <w:t>Postergable o reducible</w:t>
            </w:r>
          </w:p>
        </w:tc>
      </w:tr>
      <w:tr>
        <w:tc>
          <w:tcPr>
            <w:tcW w:type="dxa" w:w="850"/>
          </w:tcPr>
          <w:p>
            <w:r/>
            <w:r>
              <w:rPr>
                <w:sz w:val="17"/>
              </w:rPr>
              <w:t>3</w:t>
            </w:r>
          </w:p>
        </w:tc>
        <w:tc>
          <w:tcPr>
            <w:tcW w:type="dxa" w:w="3628"/>
          </w:tcPr>
          <w:p>
            <w:r/>
            <w:r>
              <w:rPr>
                <w:sz w:val="17"/>
              </w:rPr>
              <w:t>Herencia: USD 250.000 por hijo, en dinero de hoy</w:t>
            </w:r>
          </w:p>
        </w:tc>
        <w:tc>
          <w:tcPr>
            <w:tcW w:type="dxa" w:w="1077"/>
          </w:tcPr>
          <w:p>
            <w:r/>
            <w:r>
              <w:rPr>
                <w:sz w:val="17"/>
              </w:rPr>
              <w:t>50</w:t>
            </w:r>
          </w:p>
        </w:tc>
        <w:tc>
          <w:tcPr>
            <w:tcW w:type="dxa" w:w="907"/>
          </w:tcPr>
          <w:p>
            <w:r/>
            <w:r>
              <w:rPr>
                <w:sz w:val="17"/>
              </w:rPr>
              <w:t>11.161</w:t>
            </w:r>
          </w:p>
        </w:tc>
        <w:tc>
          <w:tcPr>
            <w:tcW w:type="dxa" w:w="1077"/>
          </w:tcPr>
          <w:p>
            <w:r/>
            <w:r>
              <w:rPr>
                <w:sz w:val="17"/>
              </w:rPr>
              <w:t>500.000</w:t>
            </w:r>
          </w:p>
        </w:tc>
        <w:tc>
          <w:tcPr>
            <w:tcW w:type="dxa" w:w="1531"/>
          </w:tcPr>
          <w:p>
            <w:r/>
            <w:r>
              <w:rPr>
                <w:sz w:val="17"/>
              </w:rPr>
              <w:t>Residual: absorbe la variabilidad</w:t>
            </w:r>
          </w:p>
        </w:tc>
      </w:tr>
    </w:tbl>
    <w:p/>
    <w:p>
      <w:r>
        <w:rPr>
          <w:i w:val="0"/>
        </w:rPr>
        <w:t>La herencia tiene el mayor monto pero la menor prioridad: no tiene fecha rígida y es la variable de ajuste natural. Villarrica tiene fecha, pero el propio enunciado admite postergación, reducción de superficie o una localización alternativa. Educación no admite sustitución. Horizontes: corto plazo (menos de 3 años antes de cada pago de Educación), mediano plazo (3 a 15 años) y largo plazo (Villarrica y herencia). Entre los años 16 y 18 se pagan las dos carreras a la vez: es la mayor carga de liquidez del plan.</w:t>
      </w:r>
    </w:p>
    <w:p>
      <w:pPr>
        <w:pStyle w:val="Heading2"/>
      </w:pPr>
      <w:r>
        <w:t>2.5 Retorno requerido y factibilidad</w:t>
      </w:r>
    </w:p>
    <w:p>
      <w:pPr>
        <w:jc w:val="center"/>
      </w:pPr>
      <w:r>
        <w:drawing>
          <wp:inline xmlns:a="http://schemas.openxmlformats.org/drawingml/2006/main" xmlns:pic="http://schemas.openxmlformats.org/drawingml/2006/picture">
            <wp:extent cx="5760000" cy="2400000"/>
            <wp:docPr id="1" name="Picture 1"/>
            <wp:cNvGraphicFramePr>
              <a:graphicFrameLocks noChangeAspect="1"/>
            </wp:cNvGraphicFramePr>
            <a:graphic>
              <a:graphicData uri="http://schemas.openxmlformats.org/drawingml/2006/picture">
                <pic:pic>
                  <pic:nvPicPr>
                    <pic:cNvPr id="0" name="f5_tir.png"/>
                    <pic:cNvPicPr/>
                  </pic:nvPicPr>
                  <pic:blipFill>
                    <a:blip r:embed="rId9"/>
                    <a:stretch>
                      <a:fillRect/>
                    </a:stretch>
                  </pic:blipFill>
                  <pic:spPr>
                    <a:xfrm>
                      <a:off x="0" y="0"/>
                      <a:ext cx="5760000" cy="2400000"/>
                    </a:xfrm>
                    <a:prstGeom prst="rect"/>
                  </pic:spPr>
                </pic:pic>
              </a:graphicData>
            </a:graphic>
          </wp:inline>
        </w:drawing>
      </w:r>
    </w:p>
    <w:p>
      <w:pPr>
        <w:jc w:val="center"/>
      </w:pPr>
      <w:r>
        <w:rPr>
          <w:i/>
          <w:sz w:val="16"/>
        </w:rPr>
        <w:t>Figura 1. TIR real requerida por escenario. Fuente: codigo/objetivos.py; hoja 02_Objetivos_TIR (fórmula IRR).</w:t>
      </w:r>
    </w:p>
    <w:p>
      <w:r>
        <w:rPr>
          <w:i w:val="0"/>
        </w:rPr>
        <w:t>A la tasa real libre de riesgo, los recursos cubren 0,61 veces los objetivos: el plan es factible solo si la cartera captura prima por riesgo. Valorizados a la TIR, Villarrica representa 56% de la exigencia, Educación 24% y la herencia 20%. No se usa la venta de la casa de Santiago más allá de las UF 15.000 que el enunciado asigna a Villarrica.</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737"/>
            <w:shd w:val="clear" w:color="auto" w:fill="1F3A5F"/>
          </w:tcPr>
          <w:p>
            <w:r/>
            <w:r>
              <w:rPr>
                <w:b/>
                <w:color w:val="FFFFFF"/>
                <w:sz w:val="17"/>
              </w:rPr>
              <w:t>Año</w:t>
            </w:r>
          </w:p>
        </w:tc>
        <w:tc>
          <w:tcPr>
            <w:tcW w:type="dxa" w:w="5669"/>
            <w:shd w:val="clear" w:color="auto" w:fill="1F3A5F"/>
          </w:tcPr>
          <w:p>
            <w:r/>
            <w:r>
              <w:rPr>
                <w:b/>
                <w:color w:val="FFFFFF"/>
                <w:sz w:val="17"/>
              </w:rPr>
              <w:t>Concepto</w:t>
            </w:r>
          </w:p>
        </w:tc>
        <w:tc>
          <w:tcPr>
            <w:tcW w:type="dxa" w:w="1247"/>
            <w:shd w:val="clear" w:color="auto" w:fill="1F3A5F"/>
          </w:tcPr>
          <w:p>
            <w:r/>
            <w:r>
              <w:rPr>
                <w:b/>
                <w:color w:val="FFFFFF"/>
                <w:sz w:val="17"/>
              </w:rPr>
              <w:t>UF</w:t>
            </w:r>
          </w:p>
        </w:tc>
        <w:tc>
          <w:tcPr>
            <w:tcW w:type="dxa" w:w="1417"/>
            <w:shd w:val="clear" w:color="auto" w:fill="1F3A5F"/>
          </w:tcPr>
          <w:p>
            <w:r/>
            <w:r>
              <w:rPr>
                <w:b/>
                <w:color w:val="FFFFFF"/>
                <w:sz w:val="17"/>
              </w:rPr>
              <w:t>USD reales</w:t>
            </w:r>
          </w:p>
        </w:tc>
      </w:tr>
      <w:tr>
        <w:tc>
          <w:tcPr>
            <w:tcW w:type="dxa" w:w="737"/>
          </w:tcPr>
          <w:p>
            <w:r/>
            <w:r>
              <w:rPr>
                <w:sz w:val="17"/>
              </w:rPr>
              <w:t>14</w:t>
            </w:r>
          </w:p>
        </w:tc>
        <w:tc>
          <w:tcPr>
            <w:tcW w:type="dxa" w:w="5669"/>
          </w:tcPr>
          <w:p>
            <w:r/>
            <w:r>
              <w:rPr>
                <w:sz w:val="17"/>
              </w:rPr>
              <w:t>Educación</w:t>
            </w:r>
          </w:p>
        </w:tc>
        <w:tc>
          <w:tcPr>
            <w:tcW w:type="dxa" w:w="1247"/>
          </w:tcPr>
          <w:p>
            <w:r/>
            <w:r>
              <w:rPr>
                <w:sz w:val="17"/>
              </w:rPr>
              <w:t>318,3</w:t>
            </w:r>
          </w:p>
        </w:tc>
        <w:tc>
          <w:tcPr>
            <w:tcW w:type="dxa" w:w="1417"/>
          </w:tcPr>
          <w:p>
            <w:r/>
            <w:r>
              <w:rPr>
                <w:sz w:val="17"/>
              </w:rPr>
              <w:t>14.258</w:t>
            </w:r>
          </w:p>
        </w:tc>
      </w:tr>
      <w:tr>
        <w:tc>
          <w:tcPr>
            <w:tcW w:type="dxa" w:w="737"/>
            <w:shd w:val="clear" w:color="auto" w:fill="F2F5F9"/>
          </w:tcPr>
          <w:p>
            <w:r/>
            <w:r>
              <w:rPr>
                <w:sz w:val="17"/>
              </w:rPr>
              <w:t>15</w:t>
            </w:r>
          </w:p>
        </w:tc>
        <w:tc>
          <w:tcPr>
            <w:tcW w:type="dxa" w:w="5669"/>
            <w:shd w:val="clear" w:color="auto" w:fill="F2F5F9"/>
          </w:tcPr>
          <w:p>
            <w:r/>
            <w:r>
              <w:rPr>
                <w:sz w:val="17"/>
              </w:rPr>
              <w:t>Educación</w:t>
            </w:r>
          </w:p>
        </w:tc>
        <w:tc>
          <w:tcPr>
            <w:tcW w:type="dxa" w:w="1247"/>
            <w:shd w:val="clear" w:color="auto" w:fill="F2F5F9"/>
          </w:tcPr>
          <w:p>
            <w:r/>
            <w:r>
              <w:rPr>
                <w:sz w:val="17"/>
              </w:rPr>
              <w:t>318,3</w:t>
            </w:r>
          </w:p>
        </w:tc>
        <w:tc>
          <w:tcPr>
            <w:tcW w:type="dxa" w:w="1417"/>
            <w:shd w:val="clear" w:color="auto" w:fill="F2F5F9"/>
          </w:tcPr>
          <w:p>
            <w:r/>
            <w:r>
              <w:rPr>
                <w:sz w:val="17"/>
              </w:rPr>
              <w:t>14.258</w:t>
            </w:r>
          </w:p>
        </w:tc>
      </w:tr>
      <w:tr>
        <w:tc>
          <w:tcPr>
            <w:tcW w:type="dxa" w:w="737"/>
          </w:tcPr>
          <w:p>
            <w:r/>
            <w:r>
              <w:rPr>
                <w:sz w:val="17"/>
              </w:rPr>
              <w:t>16</w:t>
            </w:r>
          </w:p>
        </w:tc>
        <w:tc>
          <w:tcPr>
            <w:tcW w:type="dxa" w:w="5669"/>
          </w:tcPr>
          <w:p>
            <w:r/>
            <w:r>
              <w:rPr>
                <w:sz w:val="17"/>
              </w:rPr>
              <w:t>Educación</w:t>
            </w:r>
          </w:p>
        </w:tc>
        <w:tc>
          <w:tcPr>
            <w:tcW w:type="dxa" w:w="1247"/>
          </w:tcPr>
          <w:p>
            <w:r/>
            <w:r>
              <w:rPr>
                <w:sz w:val="17"/>
              </w:rPr>
              <w:t>636,5</w:t>
            </w:r>
          </w:p>
        </w:tc>
        <w:tc>
          <w:tcPr>
            <w:tcW w:type="dxa" w:w="1417"/>
          </w:tcPr>
          <w:p>
            <w:r/>
            <w:r>
              <w:rPr>
                <w:sz w:val="17"/>
              </w:rPr>
              <w:t>28.516</w:t>
            </w:r>
          </w:p>
        </w:tc>
      </w:tr>
      <w:tr>
        <w:tc>
          <w:tcPr>
            <w:tcW w:type="dxa" w:w="737"/>
            <w:shd w:val="clear" w:color="auto" w:fill="F2F5F9"/>
          </w:tcPr>
          <w:p>
            <w:r/>
            <w:r>
              <w:rPr>
                <w:sz w:val="17"/>
              </w:rPr>
              <w:t>17</w:t>
            </w:r>
          </w:p>
        </w:tc>
        <w:tc>
          <w:tcPr>
            <w:tcW w:type="dxa" w:w="5669"/>
            <w:shd w:val="clear" w:color="auto" w:fill="F2F5F9"/>
          </w:tcPr>
          <w:p>
            <w:r/>
            <w:r>
              <w:rPr>
                <w:sz w:val="17"/>
              </w:rPr>
              <w:t>Educación</w:t>
            </w:r>
          </w:p>
        </w:tc>
        <w:tc>
          <w:tcPr>
            <w:tcW w:type="dxa" w:w="1247"/>
            <w:shd w:val="clear" w:color="auto" w:fill="F2F5F9"/>
          </w:tcPr>
          <w:p>
            <w:r/>
            <w:r>
              <w:rPr>
                <w:sz w:val="17"/>
              </w:rPr>
              <w:t>636,5</w:t>
            </w:r>
          </w:p>
        </w:tc>
        <w:tc>
          <w:tcPr>
            <w:tcW w:type="dxa" w:w="1417"/>
            <w:shd w:val="clear" w:color="auto" w:fill="F2F5F9"/>
          </w:tcPr>
          <w:p>
            <w:r/>
            <w:r>
              <w:rPr>
                <w:sz w:val="17"/>
              </w:rPr>
              <w:t>28.516</w:t>
            </w:r>
          </w:p>
        </w:tc>
      </w:tr>
      <w:tr>
        <w:tc>
          <w:tcPr>
            <w:tcW w:type="dxa" w:w="737"/>
          </w:tcPr>
          <w:p>
            <w:r/>
            <w:r>
              <w:rPr>
                <w:sz w:val="17"/>
              </w:rPr>
              <w:t>18</w:t>
            </w:r>
          </w:p>
        </w:tc>
        <w:tc>
          <w:tcPr>
            <w:tcW w:type="dxa" w:w="5669"/>
          </w:tcPr>
          <w:p>
            <w:r/>
            <w:r>
              <w:rPr>
                <w:sz w:val="17"/>
              </w:rPr>
              <w:t>Educación</w:t>
            </w:r>
          </w:p>
        </w:tc>
        <w:tc>
          <w:tcPr>
            <w:tcW w:type="dxa" w:w="1247"/>
          </w:tcPr>
          <w:p>
            <w:r/>
            <w:r>
              <w:rPr>
                <w:sz w:val="17"/>
              </w:rPr>
              <w:t>636,5</w:t>
            </w:r>
          </w:p>
        </w:tc>
        <w:tc>
          <w:tcPr>
            <w:tcW w:type="dxa" w:w="1417"/>
          </w:tcPr>
          <w:p>
            <w:r/>
            <w:r>
              <w:rPr>
                <w:sz w:val="17"/>
              </w:rPr>
              <w:t>28.516</w:t>
            </w:r>
          </w:p>
        </w:tc>
      </w:tr>
      <w:tr>
        <w:tc>
          <w:tcPr>
            <w:tcW w:type="dxa" w:w="737"/>
            <w:shd w:val="clear" w:color="auto" w:fill="F2F5F9"/>
          </w:tcPr>
          <w:p>
            <w:r/>
            <w:r>
              <w:rPr>
                <w:sz w:val="17"/>
              </w:rPr>
              <w:t>19</w:t>
            </w:r>
          </w:p>
        </w:tc>
        <w:tc>
          <w:tcPr>
            <w:tcW w:type="dxa" w:w="5669"/>
            <w:shd w:val="clear" w:color="auto" w:fill="F2F5F9"/>
          </w:tcPr>
          <w:p>
            <w:r/>
            <w:r>
              <w:rPr>
                <w:sz w:val="17"/>
              </w:rPr>
              <w:t>Educación</w:t>
            </w:r>
          </w:p>
        </w:tc>
        <w:tc>
          <w:tcPr>
            <w:tcW w:type="dxa" w:w="1247"/>
            <w:shd w:val="clear" w:color="auto" w:fill="F2F5F9"/>
          </w:tcPr>
          <w:p>
            <w:r/>
            <w:r>
              <w:rPr>
                <w:sz w:val="17"/>
              </w:rPr>
              <w:t>318,3</w:t>
            </w:r>
          </w:p>
        </w:tc>
        <w:tc>
          <w:tcPr>
            <w:tcW w:type="dxa" w:w="1417"/>
            <w:shd w:val="clear" w:color="auto" w:fill="F2F5F9"/>
          </w:tcPr>
          <w:p>
            <w:r/>
            <w:r>
              <w:rPr>
                <w:sz w:val="17"/>
              </w:rPr>
              <w:t>14.258</w:t>
            </w:r>
          </w:p>
        </w:tc>
      </w:tr>
      <w:tr>
        <w:tc>
          <w:tcPr>
            <w:tcW w:type="dxa" w:w="737"/>
          </w:tcPr>
          <w:p>
            <w:r/>
            <w:r>
              <w:rPr>
                <w:sz w:val="17"/>
              </w:rPr>
              <w:t>20</w:t>
            </w:r>
          </w:p>
        </w:tc>
        <w:tc>
          <w:tcPr>
            <w:tcW w:type="dxa" w:w="5669"/>
          </w:tcPr>
          <w:p>
            <w:r/>
            <w:r>
              <w:rPr>
                <w:sz w:val="17"/>
              </w:rPr>
              <w:t>Educación</w:t>
            </w:r>
          </w:p>
        </w:tc>
        <w:tc>
          <w:tcPr>
            <w:tcW w:type="dxa" w:w="1247"/>
          </w:tcPr>
          <w:p>
            <w:r/>
            <w:r>
              <w:rPr>
                <w:sz w:val="17"/>
              </w:rPr>
              <w:t>318,3</w:t>
            </w:r>
          </w:p>
        </w:tc>
        <w:tc>
          <w:tcPr>
            <w:tcW w:type="dxa" w:w="1417"/>
          </w:tcPr>
          <w:p>
            <w:r/>
            <w:r>
              <w:rPr>
                <w:sz w:val="17"/>
              </w:rPr>
              <w:t>14.258</w:t>
            </w:r>
          </w:p>
        </w:tc>
      </w:tr>
      <w:tr>
        <w:tc>
          <w:tcPr>
            <w:tcW w:type="dxa" w:w="737"/>
            <w:shd w:val="clear" w:color="auto" w:fill="F2F5F9"/>
          </w:tcPr>
          <w:p>
            <w:r/>
            <w:r>
              <w:rPr>
                <w:sz w:val="17"/>
              </w:rPr>
              <w:t>25</w:t>
            </w:r>
          </w:p>
        </w:tc>
        <w:tc>
          <w:tcPr>
            <w:tcW w:type="dxa" w:w="5669"/>
            <w:shd w:val="clear" w:color="auto" w:fill="F2F5F9"/>
          </w:tcPr>
          <w:p>
            <w:r/>
            <w:r>
              <w:rPr>
                <w:sz w:val="17"/>
              </w:rPr>
              <w:t>Villarrica (desembolso; UF 15.000 adicionales vienen de la venta de la casa, fue</w:t>
            </w:r>
          </w:p>
        </w:tc>
        <w:tc>
          <w:tcPr>
            <w:tcW w:type="dxa" w:w="1247"/>
            <w:shd w:val="clear" w:color="auto" w:fill="F2F5F9"/>
          </w:tcPr>
          <w:p>
            <w:r/>
            <w:r>
              <w:rPr>
                <w:sz w:val="17"/>
              </w:rPr>
              <w:t>10.500,0</w:t>
            </w:r>
          </w:p>
        </w:tc>
        <w:tc>
          <w:tcPr>
            <w:tcW w:type="dxa" w:w="1417"/>
            <w:shd w:val="clear" w:color="auto" w:fill="F2F5F9"/>
          </w:tcPr>
          <w:p>
            <w:r/>
            <w:r>
              <w:rPr>
                <w:sz w:val="17"/>
              </w:rPr>
              <w:t>470.385</w:t>
            </w:r>
          </w:p>
        </w:tc>
      </w:tr>
      <w:tr>
        <w:tc>
          <w:tcPr>
            <w:tcW w:type="dxa" w:w="737"/>
          </w:tcPr>
          <w:p>
            <w:r/>
            <w:r>
              <w:rPr>
                <w:sz w:val="17"/>
              </w:rPr>
              <w:t>50</w:t>
            </w:r>
          </w:p>
        </w:tc>
        <w:tc>
          <w:tcPr>
            <w:tcW w:type="dxa" w:w="5669"/>
          </w:tcPr>
          <w:p>
            <w:r/>
            <w:r>
              <w:rPr>
                <w:sz w:val="17"/>
              </w:rPr>
              <w:t>Herencia (USD 250 mil por hijo)</w:t>
            </w:r>
          </w:p>
        </w:tc>
        <w:tc>
          <w:tcPr>
            <w:tcW w:type="dxa" w:w="1247"/>
          </w:tcPr>
          <w:p>
            <w:r/>
            <w:r>
              <w:rPr>
                <w:sz w:val="17"/>
              </w:rPr>
              <w:t>11.161,1</w:t>
            </w:r>
          </w:p>
        </w:tc>
        <w:tc>
          <w:tcPr>
            <w:tcW w:type="dxa" w:w="1417"/>
          </w:tcPr>
          <w:p>
            <w:r/>
            <w:r>
              <w:rPr>
                <w:sz w:val="17"/>
              </w:rPr>
              <w:t>500.000</w:t>
            </w:r>
          </w:p>
        </w:tc>
      </w:tr>
    </w:tbl>
    <w:p>
      <w:r>
        <w:rPr>
          <w:i/>
          <w:sz w:val="16"/>
        </w:rPr>
        <w:t>Plan de desembolsos. Tipo de cambio de corte: UF = CLP 40.846; USD = CLP 911,77 (BCCh, 11-ago-2026).</w:t>
      </w:r>
    </w:p>
    <w:p>
      <w:pPr>
        <w:pStyle w:val="Heading2"/>
      </w:pPr>
      <w:r>
        <w:t>2.6 Restricciones</w:t>
      </w:r>
    </w:p>
    <w:p>
      <w:pPr>
        <w:pStyle w:val="ListBullet"/>
      </w:pPr>
      <w:r>
        <w:rPr>
          <w:b/>
        </w:rPr>
        <w:t xml:space="preserve">Liquidez: </w:t>
      </w:r>
      <w:r>
        <w:t>sin retiros hasta el año 14; reserva operativa de 4% del capital (2% caja + 2% reserva cambiaria); fondo de emergencia fuera del mandato.</w:t>
      </w:r>
    </w:p>
    <w:p>
      <w:pPr>
        <w:pStyle w:val="ListBullet"/>
      </w:pPr>
      <w:r>
        <w:rPr>
          <w:b/>
        </w:rPr>
        <w:t xml:space="preserve">Legales y tributarias: </w:t>
      </w:r>
      <w:r>
        <w:t>ETF y acciones listadas en EE.UU.; retención de 15% sobre dividendos por el convenio Chile-EE.UU.; tributación en Chile al liquidar.</w:t>
      </w:r>
    </w:p>
    <w:p>
      <w:pPr>
        <w:pStyle w:val="ListBullet"/>
      </w:pPr>
      <w:r>
        <w:rPr>
          <w:b/>
        </w:rPr>
        <w:t xml:space="preserve">Éticas e idoneidad (CFA, Estándar III.C): </w:t>
      </w:r>
      <w:r>
        <w:t>sin derivados complejos, criptoactivos, apalancamiento ni ventas cortas, por el nivel de conocimiento declarado.</w:t>
      </w:r>
    </w:p>
    <w:p>
      <w:pPr>
        <w:pStyle w:val="ListBullet"/>
      </w:pPr>
      <w:r>
        <w:rPr>
          <w:b/>
        </w:rPr>
        <w:t xml:space="preserve">Plataforma: </w:t>
      </w:r>
      <w:r>
        <w:t>instrumentos disponibles en StockTrak; al menos 150 operaciones en 12 semanas y 5 por semana en promedio.</w:t>
      </w:r>
    </w:p>
    <w:p>
      <w:pPr>
        <w:pStyle w:val="Heading2"/>
      </w:pPr>
      <w:r>
        <w:t>2.7 Asignación estratégica y riesgo-retorno esperado</w:t>
      </w:r>
    </w:p>
    <w:p>
      <w:pPr>
        <w:jc w:val="center"/>
      </w:pPr>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f3_asignacion.png"/>
                    <pic:cNvPicPr/>
                  </pic:nvPicPr>
                  <pic:blipFill>
                    <a:blip r:embed="rId10"/>
                    <a:stretch>
                      <a:fillRect/>
                    </a:stretch>
                  </pic:blipFill>
                  <pic:spPr>
                    <a:xfrm>
                      <a:off x="0" y="0"/>
                      <a:ext cx="5760000" cy="2880000"/>
                    </a:xfrm>
                    <a:prstGeom prst="rect"/>
                  </pic:spPr>
                </pic:pic>
              </a:graphicData>
            </a:graphic>
          </wp:inline>
        </w:drawing>
      </w:r>
    </w:p>
    <w:p>
      <w:pPr>
        <w:jc w:val="center"/>
      </w:pPr>
      <w:r>
        <w:rPr>
          <w:i/>
          <w:sz w:val="16"/>
        </w:rPr>
        <w:t>Figura 2. Pesos Black-Litterman (aprobados) frente al prior de paridad de riesgo y a Markowitz histórico. Fuente: hojas 05 y 06 del modelo.</w:t>
      </w:r>
    </w:p>
    <w:p>
      <w:r>
        <w:rPr>
          <w:i w:val="0"/>
        </w:rPr>
        <w:t>Marco: Black-Litterman parte de un prior de equilibrio de paridad de riesgo (peso inverso a la volatilidad), deriva retornos implícitos π = δΣw y los combina con dos vistas explícitas: el S&amp;P 500 rinde 6% (prima por riesgo de largo plazo) y Low-Volatility supera a commodities en 2 puntos. La optimización restringe el núcleo pasivo entre 60% y 70%. Markowitz con medias históricas se reporta solo como referencia: concentra en lo que más rindió en el pasado (ver walk-forward, sección 4.4).</w:t>
      </w:r>
    </w:p>
    <w:p>
      <w:r>
        <w:rPr>
          <w:i w:val="0"/>
        </w:rPr>
        <w:t>Los pesos aprobados en septiembre siguen vigentes: recalibrados con los datos corregidos de esta versión, difieren en menos de 0,6 puntos, dentro de la banda de rebalanceo de ±2 puntos. Cambiarlos solo generaría costos.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835"/>
            <w:shd w:val="clear" w:color="auto" w:fill="1F3A5F"/>
          </w:tcPr>
          <w:p>
            <w:r/>
            <w:r>
              <w:rPr>
                <w:b/>
                <w:color w:val="FFFFFF"/>
                <w:sz w:val="17"/>
              </w:rPr>
              <w:t>Métrica (2016-2026, USD)</w:t>
            </w:r>
          </w:p>
        </w:tc>
        <w:tc>
          <w:tcPr>
            <w:tcW w:type="dxa" w:w="1531"/>
            <w:shd w:val="clear" w:color="auto" w:fill="1F3A5F"/>
          </w:tcPr>
          <w:p>
            <w:r/>
            <w:r>
              <w:rPr>
                <w:b/>
                <w:color w:val="FFFFFF"/>
                <w:sz w:val="17"/>
              </w:rPr>
              <w:t>Nexum</w:t>
            </w:r>
          </w:p>
        </w:tc>
        <w:tc>
          <w:tcPr>
            <w:tcW w:type="dxa" w:w="1531"/>
            <w:shd w:val="clear" w:color="auto" w:fill="1F3A5F"/>
          </w:tcPr>
          <w:p>
            <w:r/>
            <w:r>
              <w:rPr>
                <w:b/>
                <w:color w:val="FFFFFF"/>
                <w:sz w:val="17"/>
              </w:rPr>
              <w:t>Benchmark</w:t>
            </w:r>
          </w:p>
        </w:tc>
        <w:tc>
          <w:tcPr>
            <w:tcW w:type="dxa" w:w="1531"/>
            <w:shd w:val="clear" w:color="auto" w:fill="1F3A5F"/>
          </w:tcPr>
          <w:p>
            <w:r/>
            <w:r>
              <w:rPr>
                <w:b/>
                <w:color w:val="FFFFFF"/>
                <w:sz w:val="17"/>
              </w:rPr>
              <w:t>AGF 85/15</w:t>
            </w:r>
          </w:p>
        </w:tc>
        <w:tc>
          <w:tcPr>
            <w:tcW w:type="dxa" w:w="1531"/>
            <w:shd w:val="clear" w:color="auto" w:fill="1F3A5F"/>
          </w:tcPr>
          <w:p>
            <w:r/>
            <w:r>
              <w:rPr>
                <w:b/>
                <w:color w:val="FFFFFF"/>
                <w:sz w:val="17"/>
              </w:rPr>
              <w:t>S&amp;P 500</w:t>
            </w:r>
          </w:p>
        </w:tc>
      </w:tr>
      <w:tr>
        <w:tc>
          <w:tcPr>
            <w:tcW w:type="dxa" w:w="2835"/>
          </w:tcPr>
          <w:p>
            <w:r/>
            <w:r>
              <w:rPr>
                <w:sz w:val="17"/>
              </w:rPr>
              <w:t>CAGR</w:t>
            </w:r>
          </w:p>
        </w:tc>
        <w:tc>
          <w:tcPr>
            <w:tcW w:type="dxa" w:w="1531"/>
          </w:tcPr>
          <w:p>
            <w:r/>
            <w:r>
              <w:rPr>
                <w:sz w:val="17"/>
              </w:rPr>
              <w:t>9,9%</w:t>
            </w:r>
          </w:p>
        </w:tc>
        <w:tc>
          <w:tcPr>
            <w:tcW w:type="dxa" w:w="1531"/>
          </w:tcPr>
          <w:p>
            <w:r/>
            <w:r>
              <w:rPr>
                <w:sz w:val="17"/>
              </w:rPr>
              <w:t>9,5%</w:t>
            </w:r>
          </w:p>
        </w:tc>
        <w:tc>
          <w:tcPr>
            <w:tcW w:type="dxa" w:w="1531"/>
          </w:tcPr>
          <w:p>
            <w:r/>
            <w:r>
              <w:rPr>
                <w:sz w:val="17"/>
              </w:rPr>
              <w:t>12,7%</w:t>
            </w:r>
          </w:p>
        </w:tc>
        <w:tc>
          <w:tcPr>
            <w:tcW w:type="dxa" w:w="1531"/>
          </w:tcPr>
          <w:p>
            <w:r/>
            <w:r>
              <w:rPr>
                <w:sz w:val="17"/>
              </w:rPr>
              <w:t>15,1%</w:t>
            </w:r>
          </w:p>
        </w:tc>
      </w:tr>
      <w:tr>
        <w:tc>
          <w:tcPr>
            <w:tcW w:type="dxa" w:w="2835"/>
            <w:shd w:val="clear" w:color="auto" w:fill="F2F5F9"/>
          </w:tcPr>
          <w:p>
            <w:r/>
            <w:r>
              <w:rPr>
                <w:sz w:val="17"/>
              </w:rPr>
              <w:t>Volatilidad</w:t>
            </w:r>
          </w:p>
        </w:tc>
        <w:tc>
          <w:tcPr>
            <w:tcW w:type="dxa" w:w="1531"/>
            <w:shd w:val="clear" w:color="auto" w:fill="F2F5F9"/>
          </w:tcPr>
          <w:p>
            <w:r/>
            <w:r>
              <w:rPr>
                <w:sz w:val="17"/>
              </w:rPr>
              <w:t>10,6%</w:t>
            </w:r>
          </w:p>
        </w:tc>
        <w:tc>
          <w:tcPr>
            <w:tcW w:type="dxa" w:w="1531"/>
            <w:shd w:val="clear" w:color="auto" w:fill="F2F5F9"/>
          </w:tcPr>
          <w:p>
            <w:r/>
            <w:r>
              <w:rPr>
                <w:sz w:val="17"/>
              </w:rPr>
              <w:t>11,0%</w:t>
            </w:r>
          </w:p>
        </w:tc>
        <w:tc>
          <w:tcPr>
            <w:tcW w:type="dxa" w:w="1531"/>
            <w:shd w:val="clear" w:color="auto" w:fill="F2F5F9"/>
          </w:tcPr>
          <w:p>
            <w:r/>
            <w:r>
              <w:rPr>
                <w:sz w:val="17"/>
              </w:rPr>
              <w:t>12,9%</w:t>
            </w:r>
          </w:p>
        </w:tc>
        <w:tc>
          <w:tcPr>
            <w:tcW w:type="dxa" w:w="1531"/>
            <w:shd w:val="clear" w:color="auto" w:fill="F2F5F9"/>
          </w:tcPr>
          <w:p>
            <w:r/>
            <w:r>
              <w:rPr>
                <w:sz w:val="17"/>
              </w:rPr>
              <w:t>15,1%</w:t>
            </w:r>
          </w:p>
        </w:tc>
      </w:tr>
      <w:tr>
        <w:tc>
          <w:tcPr>
            <w:tcW w:type="dxa" w:w="2835"/>
          </w:tcPr>
          <w:p>
            <w:r/>
            <w:r>
              <w:rPr>
                <w:sz w:val="17"/>
              </w:rPr>
              <w:t>Sharpe</w:t>
            </w:r>
          </w:p>
        </w:tc>
        <w:tc>
          <w:tcPr>
            <w:tcW w:type="dxa" w:w="1531"/>
          </w:tcPr>
          <w:p>
            <w:r/>
            <w:r>
              <w:rPr>
                <w:sz w:val="17"/>
              </w:rPr>
              <w:t>0,74</w:t>
            </w:r>
          </w:p>
        </w:tc>
        <w:tc>
          <w:tcPr>
            <w:tcW w:type="dxa" w:w="1531"/>
          </w:tcPr>
          <w:p>
            <w:r/>
            <w:r>
              <w:rPr>
                <w:sz w:val="17"/>
              </w:rPr>
              <w:t>0,69</w:t>
            </w:r>
          </w:p>
        </w:tc>
        <w:tc>
          <w:tcPr>
            <w:tcW w:type="dxa" w:w="1531"/>
          </w:tcPr>
          <w:p>
            <w:r/>
            <w:r>
              <w:rPr>
                <w:sz w:val="17"/>
              </w:rPr>
              <w:t>0,83</w:t>
            </w:r>
          </w:p>
        </w:tc>
        <w:tc>
          <w:tcPr>
            <w:tcW w:type="dxa" w:w="1531"/>
          </w:tcPr>
          <w:p>
            <w:r/>
            <w:r>
              <w:rPr>
                <w:sz w:val="17"/>
              </w:rPr>
              <w:t>0,87</w:t>
            </w:r>
          </w:p>
        </w:tc>
      </w:tr>
      <w:tr>
        <w:tc>
          <w:tcPr>
            <w:tcW w:type="dxa" w:w="2835"/>
            <w:shd w:val="clear" w:color="auto" w:fill="F2F5F9"/>
          </w:tcPr>
          <w:p>
            <w:r/>
            <w:r>
              <w:rPr>
                <w:sz w:val="17"/>
              </w:rPr>
              <w:t>Sortino</w:t>
            </w:r>
          </w:p>
        </w:tc>
        <w:tc>
          <w:tcPr>
            <w:tcW w:type="dxa" w:w="1531"/>
            <w:shd w:val="clear" w:color="auto" w:fill="F2F5F9"/>
          </w:tcPr>
          <w:p>
            <w:r/>
            <w:r>
              <w:rPr>
                <w:sz w:val="17"/>
              </w:rPr>
              <w:t>0,64</w:t>
            </w:r>
          </w:p>
        </w:tc>
        <w:tc>
          <w:tcPr>
            <w:tcW w:type="dxa" w:w="1531"/>
            <w:shd w:val="clear" w:color="auto" w:fill="F2F5F9"/>
          </w:tcPr>
          <w:p>
            <w:r/>
            <w:r>
              <w:rPr>
                <w:sz w:val="17"/>
              </w:rPr>
              <w:t>0,59</w:t>
            </w:r>
          </w:p>
        </w:tc>
        <w:tc>
          <w:tcPr>
            <w:tcW w:type="dxa" w:w="1531"/>
            <w:shd w:val="clear" w:color="auto" w:fill="F2F5F9"/>
          </w:tcPr>
          <w:p>
            <w:r/>
            <w:r>
              <w:rPr>
                <w:sz w:val="17"/>
              </w:rPr>
              <w:t>0,73</w:t>
            </w:r>
          </w:p>
        </w:tc>
        <w:tc>
          <w:tcPr>
            <w:tcW w:type="dxa" w:w="1531"/>
            <w:shd w:val="clear" w:color="auto" w:fill="F2F5F9"/>
          </w:tcPr>
          <w:p>
            <w:r/>
            <w:r>
              <w:rPr>
                <w:sz w:val="17"/>
              </w:rPr>
              <w:t>0,78</w:t>
            </w:r>
          </w:p>
        </w:tc>
      </w:tr>
      <w:tr>
        <w:tc>
          <w:tcPr>
            <w:tcW w:type="dxa" w:w="2835"/>
          </w:tcPr>
          <w:p>
            <w:r/>
            <w:r>
              <w:rPr>
                <w:sz w:val="17"/>
              </w:rPr>
              <w:t>Beta</w:t>
            </w:r>
          </w:p>
        </w:tc>
        <w:tc>
          <w:tcPr>
            <w:tcW w:type="dxa" w:w="1531"/>
          </w:tcPr>
          <w:p>
            <w:r/>
            <w:r>
              <w:rPr>
                <w:sz w:val="17"/>
              </w:rPr>
              <w:t>0,65</w:t>
            </w:r>
          </w:p>
        </w:tc>
        <w:tc>
          <w:tcPr>
            <w:tcW w:type="dxa" w:w="1531"/>
          </w:tcPr>
          <w:p>
            <w:r/>
            <w:r>
              <w:rPr>
                <w:sz w:val="17"/>
              </w:rPr>
              <w:t>0,68</w:t>
            </w:r>
          </w:p>
        </w:tc>
        <w:tc>
          <w:tcPr>
            <w:tcW w:type="dxa" w:w="1531"/>
          </w:tcPr>
          <w:p>
            <w:r/>
            <w:r>
              <w:rPr>
                <w:sz w:val="17"/>
              </w:rPr>
              <w:t>0,85</w:t>
            </w:r>
          </w:p>
        </w:tc>
        <w:tc>
          <w:tcPr>
            <w:tcW w:type="dxa" w:w="1531"/>
          </w:tcPr>
          <w:p>
            <w:r/>
            <w:r>
              <w:rPr>
                <w:sz w:val="17"/>
              </w:rPr>
              <w:t>1,00</w:t>
            </w:r>
          </w:p>
        </w:tc>
      </w:tr>
      <w:tr>
        <w:tc>
          <w:tcPr>
            <w:tcW w:type="dxa" w:w="2835"/>
            <w:shd w:val="clear" w:color="auto" w:fill="F2F5F9"/>
          </w:tcPr>
          <w:p>
            <w:r/>
            <w:r>
              <w:rPr>
                <w:sz w:val="17"/>
              </w:rPr>
              <w:t>Máx. caída</w:t>
            </w:r>
          </w:p>
        </w:tc>
        <w:tc>
          <w:tcPr>
            <w:tcW w:type="dxa" w:w="1531"/>
            <w:shd w:val="clear" w:color="auto" w:fill="F2F5F9"/>
          </w:tcPr>
          <w:p>
            <w:r/>
            <w:r>
              <w:rPr>
                <w:sz w:val="17"/>
              </w:rPr>
              <w:t>-20,5%</w:t>
            </w:r>
          </w:p>
        </w:tc>
        <w:tc>
          <w:tcPr>
            <w:tcW w:type="dxa" w:w="1531"/>
            <w:shd w:val="clear" w:color="auto" w:fill="F2F5F9"/>
          </w:tcPr>
          <w:p>
            <w:r/>
            <w:r>
              <w:rPr>
                <w:sz w:val="17"/>
              </w:rPr>
              <w:t>-21,4%</w:t>
            </w:r>
          </w:p>
        </w:tc>
        <w:tc>
          <w:tcPr>
            <w:tcW w:type="dxa" w:w="1531"/>
            <w:shd w:val="clear" w:color="auto" w:fill="F2F5F9"/>
          </w:tcPr>
          <w:p>
            <w:r/>
            <w:r>
              <w:rPr>
                <w:sz w:val="17"/>
              </w:rPr>
              <w:t>-22,6%</w:t>
            </w:r>
          </w:p>
        </w:tc>
        <w:tc>
          <w:tcPr>
            <w:tcW w:type="dxa" w:w="1531"/>
            <w:shd w:val="clear" w:color="auto" w:fill="F2F5F9"/>
          </w:tcPr>
          <w:p>
            <w:r/>
            <w:r>
              <w:rPr>
                <w:sz w:val="17"/>
              </w:rPr>
              <w:t>-23,9%</w:t>
            </w:r>
          </w:p>
        </w:tc>
      </w:tr>
      <w:tr>
        <w:tc>
          <w:tcPr>
            <w:tcW w:type="dxa" w:w="2835"/>
          </w:tcPr>
          <w:p>
            <w:r/>
            <w:r>
              <w:rPr>
                <w:sz w:val="17"/>
              </w:rPr>
              <w:t>VaR 95% mensual</w:t>
            </w:r>
          </w:p>
        </w:tc>
        <w:tc>
          <w:tcPr>
            <w:tcW w:type="dxa" w:w="1531"/>
          </w:tcPr>
          <w:p>
            <w:r/>
            <w:r>
              <w:rPr>
                <w:sz w:val="17"/>
              </w:rPr>
              <w:t>4,6%</w:t>
            </w:r>
          </w:p>
        </w:tc>
        <w:tc>
          <w:tcPr>
            <w:tcW w:type="dxa" w:w="1531"/>
          </w:tcPr>
          <w:p>
            <w:r/>
            <w:r>
              <w:rPr>
                <w:sz w:val="17"/>
              </w:rPr>
              <w:t>4,4%</w:t>
            </w:r>
          </w:p>
        </w:tc>
        <w:tc>
          <w:tcPr>
            <w:tcW w:type="dxa" w:w="1531"/>
          </w:tcPr>
          <w:p>
            <w:r/>
            <w:r>
              <w:rPr>
                <w:sz w:val="17"/>
              </w:rPr>
              <w:t>5,7%</w:t>
            </w:r>
          </w:p>
        </w:tc>
        <w:tc>
          <w:tcPr>
            <w:tcW w:type="dxa" w:w="1531"/>
          </w:tcPr>
          <w:p>
            <w:r/>
            <w:r>
              <w:rPr>
                <w:sz w:val="17"/>
              </w:rPr>
              <w:t>6,7%</w:t>
            </w:r>
          </w:p>
        </w:tc>
      </w:tr>
      <w:tr>
        <w:tc>
          <w:tcPr>
            <w:tcW w:type="dxa" w:w="2835"/>
            <w:shd w:val="clear" w:color="auto" w:fill="F2F5F9"/>
          </w:tcPr>
          <w:p>
            <w:r/>
            <w:r>
              <w:rPr>
                <w:sz w:val="17"/>
              </w:rPr>
              <w:t>CVaR 95% mensual</w:t>
            </w:r>
          </w:p>
        </w:tc>
        <w:tc>
          <w:tcPr>
            <w:tcW w:type="dxa" w:w="1531"/>
            <w:shd w:val="clear" w:color="auto" w:fill="F2F5F9"/>
          </w:tcPr>
          <w:p>
            <w:r/>
            <w:r>
              <w:rPr>
                <w:sz w:val="17"/>
              </w:rPr>
              <w:t>6,2%</w:t>
            </w:r>
          </w:p>
        </w:tc>
        <w:tc>
          <w:tcPr>
            <w:tcW w:type="dxa" w:w="1531"/>
            <w:shd w:val="clear" w:color="auto" w:fill="F2F5F9"/>
          </w:tcPr>
          <w:p>
            <w:r/>
            <w:r>
              <w:rPr>
                <w:sz w:val="17"/>
              </w:rPr>
              <w:t>6,5%</w:t>
            </w:r>
          </w:p>
        </w:tc>
        <w:tc>
          <w:tcPr>
            <w:tcW w:type="dxa" w:w="1531"/>
            <w:shd w:val="clear" w:color="auto" w:fill="F2F5F9"/>
          </w:tcPr>
          <w:p>
            <w:r/>
            <w:r>
              <w:rPr>
                <w:sz w:val="17"/>
              </w:rPr>
              <w:t>7,7%</w:t>
            </w:r>
          </w:p>
        </w:tc>
        <w:tc>
          <w:tcPr>
            <w:tcW w:type="dxa" w:w="1531"/>
            <w:shd w:val="clear" w:color="auto" w:fill="F2F5F9"/>
          </w:tcPr>
          <w:p>
            <w:r/>
            <w:r>
              <w:rPr>
                <w:sz w:val="17"/>
              </w:rPr>
              <w:t>8,9%</w:t>
            </w:r>
          </w:p>
        </w:tc>
      </w:tr>
      <w:tr>
        <w:tc>
          <w:tcPr>
            <w:tcW w:type="dxa" w:w="2835"/>
          </w:tcPr>
          <w:p>
            <w:r/>
            <w:r>
              <w:rPr>
                <w:sz w:val="17"/>
              </w:rPr>
              <w:t>Tracking error</w:t>
            </w:r>
          </w:p>
        </w:tc>
        <w:tc>
          <w:tcPr>
            <w:tcW w:type="dxa" w:w="1531"/>
          </w:tcPr>
          <w:p>
            <w:r/>
            <w:r>
              <w:rPr>
                <w:sz w:val="17"/>
              </w:rPr>
              <w:t>2,0%</w:t>
            </w:r>
          </w:p>
        </w:tc>
        <w:tc>
          <w:tcPr>
            <w:tcW w:type="dxa" w:w="1531"/>
          </w:tcPr>
          <w:p>
            <w:r/>
            <w:r>
              <w:rPr>
                <w:sz w:val="17"/>
              </w:rPr>
              <w:t>0,0%</w:t>
            </w:r>
          </w:p>
        </w:tc>
        <w:tc>
          <w:tcPr>
            <w:tcW w:type="dxa" w:w="1531"/>
          </w:tcPr>
          <w:p>
            <w:r/>
            <w:r>
              <w:rPr>
                <w:sz w:val="17"/>
              </w:rPr>
              <w:t>4,2%</w:t>
            </w:r>
          </w:p>
        </w:tc>
        <w:tc>
          <w:tcPr>
            <w:tcW w:type="dxa" w:w="1531"/>
          </w:tcPr>
          <w:p>
            <w:r/>
            <w:r>
              <w:rPr>
                <w:sz w:val="17"/>
              </w:rPr>
              <w:t>6,2%</w:t>
            </w:r>
          </w:p>
        </w:tc>
      </w:tr>
      <w:tr>
        <w:tc>
          <w:tcPr>
            <w:tcW w:type="dxa" w:w="2835"/>
            <w:shd w:val="clear" w:color="auto" w:fill="F2F5F9"/>
          </w:tcPr>
          <w:p>
            <w:r/>
            <w:r>
              <w:rPr>
                <w:sz w:val="17"/>
              </w:rPr>
              <w:t>Information ratio</w:t>
            </w:r>
          </w:p>
        </w:tc>
        <w:tc>
          <w:tcPr>
            <w:tcW w:type="dxa" w:w="1531"/>
            <w:shd w:val="clear" w:color="auto" w:fill="F2F5F9"/>
          </w:tcPr>
          <w:p>
            <w:r/>
            <w:r>
              <w:rPr>
                <w:sz w:val="17"/>
              </w:rPr>
              <w:t>0,18</w:t>
            </w:r>
          </w:p>
        </w:tc>
        <w:tc>
          <w:tcPr>
            <w:tcW w:type="dxa" w:w="1531"/>
            <w:shd w:val="clear" w:color="auto" w:fill="F2F5F9"/>
          </w:tcPr>
          <w:p>
            <w:r/>
            <w:r>
              <w:rPr>
                <w:sz w:val="17"/>
              </w:rPr>
              <w:t>—</w:t>
            </w:r>
          </w:p>
        </w:tc>
        <w:tc>
          <w:tcPr>
            <w:tcW w:type="dxa" w:w="1531"/>
            <w:shd w:val="clear" w:color="auto" w:fill="F2F5F9"/>
          </w:tcPr>
          <w:p>
            <w:r/>
            <w:r>
              <w:rPr>
                <w:sz w:val="17"/>
              </w:rPr>
              <w:t>0,75</w:t>
            </w:r>
          </w:p>
        </w:tc>
        <w:tc>
          <w:tcPr>
            <w:tcW w:type="dxa" w:w="1531"/>
            <w:shd w:val="clear" w:color="auto" w:fill="F2F5F9"/>
          </w:tcPr>
          <w:p>
            <w:r/>
            <w:r>
              <w:rPr>
                <w:sz w:val="17"/>
              </w:rPr>
              <w:t>0,90</w:t>
            </w:r>
          </w:p>
        </w:tc>
      </w:tr>
    </w:tbl>
    <w:p/>
    <w:p>
      <w:r>
        <w:rPr>
          <w:i w:val="0"/>
        </w:rPr>
        <w:t>Retorno esperado vs requerido: el retorno histórico real 2013-2026 fue 7,8%, muy sobre el requerido. Con supuestos prospectivos (tasa real ~2,5% más primas moderadas; sección 4.3) el retorno real esperado es 4,6%, igual al requerido de 4,56%. Nivel de riesgo aceptable: volatilidad anual de 10-12%, máxima caída tolerada de 25% y probabilidad de Educación de al menos 90%.</w:t>
      </w:r>
    </w:p>
    <w:p>
      <w:pPr>
        <w:jc w:val="center"/>
      </w:pPr>
      <w:r>
        <w:drawing>
          <wp:inline xmlns:a="http://schemas.openxmlformats.org/drawingml/2006/main" xmlns:pic="http://schemas.openxmlformats.org/drawingml/2006/picture">
            <wp:extent cx="5760000" cy="2720000"/>
            <wp:docPr id="3" name="Picture 3"/>
            <wp:cNvGraphicFramePr>
              <a:graphicFrameLocks noChangeAspect="1"/>
            </wp:cNvGraphicFramePr>
            <a:graphic>
              <a:graphicData uri="http://schemas.openxmlformats.org/drawingml/2006/picture">
                <pic:pic>
                  <pic:nvPicPr>
                    <pic:cNvPr id="0" name="f1_crecimiento.png"/>
                    <pic:cNvPicPr/>
                  </pic:nvPicPr>
                  <pic:blipFill>
                    <a:blip r:embed="rId11"/>
                    <a:stretch>
                      <a:fillRect/>
                    </a:stretch>
                  </pic:blipFill>
                  <pic:spPr>
                    <a:xfrm>
                      <a:off x="0" y="0"/>
                      <a:ext cx="5760000" cy="2720000"/>
                    </a:xfrm>
                    <a:prstGeom prst="rect"/>
                  </pic:spPr>
                </pic:pic>
              </a:graphicData>
            </a:graphic>
          </wp:inline>
        </w:drawing>
      </w:r>
    </w:p>
    <w:p>
      <w:pPr>
        <w:jc w:val="center"/>
      </w:pPr>
      <w:r>
        <w:rPr>
          <w:i/>
          <w:sz w:val="16"/>
        </w:rPr>
        <w:t>Figura 3. Crecimiento de USD 100 (2016-2026). Fuente: resultados/retornos_cartera_benchmark.csv.</w:t>
      </w:r>
    </w:p>
    <w:p>
      <w:pPr>
        <w:jc w:val="center"/>
      </w:pPr>
      <w:r>
        <w:drawing>
          <wp:inline xmlns:a="http://schemas.openxmlformats.org/drawingml/2006/main" xmlns:pic="http://schemas.openxmlformats.org/drawingml/2006/picture">
            <wp:extent cx="5760000" cy="2080000"/>
            <wp:docPr id="4" name="Picture 4"/>
            <wp:cNvGraphicFramePr>
              <a:graphicFrameLocks noChangeAspect="1"/>
            </wp:cNvGraphicFramePr>
            <a:graphic>
              <a:graphicData uri="http://schemas.openxmlformats.org/drawingml/2006/picture">
                <pic:pic>
                  <pic:nvPicPr>
                    <pic:cNvPr id="0" name="f2_caidas.png"/>
                    <pic:cNvPicPr/>
                  </pic:nvPicPr>
                  <pic:blipFill>
                    <a:blip r:embed="rId12"/>
                    <a:stretch>
                      <a:fillRect/>
                    </a:stretch>
                  </pic:blipFill>
                  <pic:spPr>
                    <a:xfrm>
                      <a:off x="0" y="0"/>
                      <a:ext cx="5760000" cy="2080000"/>
                    </a:xfrm>
                    <a:prstGeom prst="rect"/>
                  </pic:spPr>
                </pic:pic>
              </a:graphicData>
            </a:graphic>
          </wp:inline>
        </w:drawing>
      </w:r>
    </w:p>
    <w:p>
      <w:pPr>
        <w:jc w:val="center"/>
      </w:pPr>
      <w:r>
        <w:rPr>
          <w:i/>
          <w:sz w:val="16"/>
        </w:rPr>
        <w:t>Figura 4. Caídas desde el máximo: Nexum frente a la cartera actual de la AGF.</w:t>
      </w:r>
    </w:p>
    <w:p>
      <w:pPr>
        <w:pStyle w:val="Heading2"/>
      </w:pPr>
      <w:r>
        <w:t>2.8 Selección, seguimiento y rebalanceo</w:t>
      </w:r>
    </w:p>
    <w:tbl>
      <w:tblPr>
        <w:tblStyle w:val="TableGrid"/>
        <w:tblW w:type="auto" w:w="0"/>
        <w:jc w:val="center"/>
        <w:tblLook w:firstColumn="1" w:firstRow="1" w:lastColumn="0" w:lastRow="0" w:noHBand="0" w:noVBand="1" w:val="04A0"/>
      </w:tblPr>
      <w:tblGrid>
        <w:gridCol w:w="4816"/>
        <w:gridCol w:w="4816"/>
      </w:tblGrid>
      <w:tr>
        <w:tc>
          <w:tcPr>
            <w:tcW w:type="dxa" w:w="2041"/>
            <w:shd w:val="clear" w:color="auto" w:fill="1F3A5F"/>
          </w:tcPr>
          <w:p>
            <w:r/>
            <w:r>
              <w:rPr>
                <w:b/>
                <w:color w:val="FFFFFF"/>
                <w:sz w:val="17"/>
              </w:rPr>
              <w:t>Elemento</w:t>
            </w:r>
          </w:p>
        </w:tc>
        <w:tc>
          <w:tcPr>
            <w:tcW w:type="dxa" w:w="7030"/>
            <w:shd w:val="clear" w:color="auto" w:fill="1F3A5F"/>
          </w:tcPr>
          <w:p>
            <w:r/>
            <w:r>
              <w:rPr>
                <w:b/>
                <w:color w:val="FFFFFF"/>
                <w:sz w:val="17"/>
              </w:rPr>
              <w:t>Regla</w:t>
            </w:r>
          </w:p>
        </w:tc>
      </w:tr>
      <w:tr>
        <w:tc>
          <w:tcPr>
            <w:tcW w:type="dxa" w:w="2041"/>
          </w:tcPr>
          <w:p>
            <w:r/>
            <w:r>
              <w:rPr>
                <w:sz w:val="17"/>
              </w:rPr>
              <w:t>Selección</w:t>
            </w:r>
          </w:p>
        </w:tc>
        <w:tc>
          <w:tcPr>
            <w:tcW w:type="dxa" w:w="7030"/>
          </w:tcPr>
          <w:p>
            <w:r/>
            <w:r>
              <w:rPr>
                <w:sz w:val="17"/>
              </w:rPr>
              <w:t>Núcleo: ETF líquidos de bajo costo. Satélite: acciones del S&amp;P 500 (precio ≥ USD 5, liquidez ≥ USD 5 millones/día) y 5 ETF de commodities</w:t>
            </w:r>
          </w:p>
        </w:tc>
      </w:tr>
      <w:tr>
        <w:tc>
          <w:tcPr>
            <w:tcW w:type="dxa" w:w="2041"/>
            <w:shd w:val="clear" w:color="auto" w:fill="F2F5F9"/>
          </w:tcPr>
          <w:p>
            <w:r/>
            <w:r>
              <w:rPr>
                <w:sz w:val="17"/>
              </w:rPr>
              <w:t>Señales</w:t>
            </w:r>
          </w:p>
        </w:tc>
        <w:tc>
          <w:tcPr>
            <w:tcW w:type="dxa" w:w="7030"/>
            <w:shd w:val="clear" w:color="auto" w:fill="F2F5F9"/>
          </w:tcPr>
          <w:p>
            <w:r/>
            <w:r>
              <w:rPr>
                <w:sz w:val="17"/>
              </w:rPr>
              <w:t>Mensuales, con el cierre del último día hábil (codigo/senales.py); ejecución escalonada durante la semana siguiente</w:t>
            </w:r>
          </w:p>
        </w:tc>
      </w:tr>
      <w:tr>
        <w:tc>
          <w:tcPr>
            <w:tcW w:type="dxa" w:w="2041"/>
          </w:tcPr>
          <w:p>
            <w:r/>
            <w:r>
              <w:rPr>
                <w:sz w:val="17"/>
              </w:rPr>
              <w:t>Bandas</w:t>
            </w:r>
          </w:p>
        </w:tc>
        <w:tc>
          <w:tcPr>
            <w:tcW w:type="dxa" w:w="7030"/>
          </w:tcPr>
          <w:p>
            <w:r/>
            <w:r>
              <w:rPr>
                <w:sz w:val="17"/>
              </w:rPr>
              <w:t>Núcleo ±5 puntos por activo; satélite ±2 puntos por sleeve; dentro de cada sleeve, peso igual</w:t>
            </w:r>
          </w:p>
        </w:tc>
      </w:tr>
      <w:tr>
        <w:tc>
          <w:tcPr>
            <w:tcW w:type="dxa" w:w="2041"/>
            <w:shd w:val="clear" w:color="auto" w:fill="F2F5F9"/>
          </w:tcPr>
          <w:p>
            <w:r/>
            <w:r>
              <w:rPr>
                <w:sz w:val="17"/>
              </w:rPr>
              <w:t>Revisión semanal</w:t>
            </w:r>
          </w:p>
        </w:tc>
        <w:tc>
          <w:tcPr>
            <w:tcW w:type="dxa" w:w="7030"/>
            <w:shd w:val="clear" w:color="auto" w:fill="F2F5F9"/>
          </w:tcPr>
          <w:p>
            <w:r/>
            <w:r>
              <w:rPr>
                <w:sz w:val="17"/>
              </w:rPr>
              <w:t>Ranking de Momentum con banda de permanencia: una acción se mantiene mientras esté en el top 25</w:t>
            </w:r>
          </w:p>
        </w:tc>
      </w:tr>
      <w:tr>
        <w:tc>
          <w:tcPr>
            <w:tcW w:type="dxa" w:w="2041"/>
          </w:tcPr>
          <w:p>
            <w:r/>
            <w:r>
              <w:rPr>
                <w:sz w:val="17"/>
              </w:rPr>
              <w:t>Costos</w:t>
            </w:r>
          </w:p>
        </w:tc>
        <w:tc>
          <w:tcPr>
            <w:tcW w:type="dxa" w:w="7030"/>
          </w:tcPr>
          <w:p>
            <w:r/>
            <w:r>
              <w:rPr>
                <w:sz w:val="17"/>
              </w:rPr>
              <w:t>No se ejecutan ajustes menores a USD 500 (comisión de USD 10 = 2% del monto)</w:t>
            </w:r>
          </w:p>
        </w:tc>
      </w:tr>
      <w:tr>
        <w:tc>
          <w:tcPr>
            <w:tcW w:type="dxa" w:w="2041"/>
            <w:shd w:val="clear" w:color="auto" w:fill="F2F5F9"/>
          </w:tcPr>
          <w:p>
            <w:r/>
            <w:r>
              <w:rPr>
                <w:sz w:val="17"/>
              </w:rPr>
              <w:t>Disciplina de venta</w:t>
            </w:r>
          </w:p>
        </w:tc>
        <w:tc>
          <w:tcPr>
            <w:tcW w:type="dxa" w:w="7030"/>
            <w:shd w:val="clear" w:color="auto" w:fill="F2F5F9"/>
          </w:tcPr>
          <w:p>
            <w:r/>
            <w:r>
              <w:rPr>
                <w:sz w:val="17"/>
              </w:rPr>
              <w:t>Núcleo sin stop-loss (se controla con bandas). Satélite: salida por señal; stop de emergencia de −15%; en posiciones con ganancia, stop móvil sobre el costo</w:t>
            </w:r>
          </w:p>
        </w:tc>
      </w:tr>
      <w:tr>
        <w:tc>
          <w:tcPr>
            <w:tcW w:type="dxa" w:w="2041"/>
          </w:tcPr>
          <w:p>
            <w:r/>
            <w:r>
              <w:rPr>
                <w:sz w:val="17"/>
              </w:rPr>
              <w:t>Eventos</w:t>
            </w:r>
          </w:p>
        </w:tc>
        <w:tc>
          <w:tcPr>
            <w:tcW w:type="dxa" w:w="7030"/>
          </w:tcPr>
          <w:p>
            <w:r/>
            <w:r>
              <w:rPr>
                <w:sz w:val="17"/>
              </w:rPr>
              <w:t>No se ejecuta en la primera media hora ni durante la publicación de datos de la Fed, inflación o empleo</w:t>
            </w:r>
          </w:p>
        </w:tc>
      </w:tr>
    </w:tbl>
    <w:p/>
    <w:p>
      <w:pPr>
        <w:pStyle w:val="Heading2"/>
      </w:pPr>
      <w:r>
        <w:t>2.9 Política de revisión y control</w:t>
      </w:r>
    </w:p>
    <w:p>
      <w:pPr>
        <w:pStyle w:val="ListBullet"/>
      </w:pPr>
      <w:r>
        <w:t>Revisión anual del IPS y del Montecarlo con datos actualizados.</w:t>
      </w:r>
    </w:p>
    <w:p>
      <w:pPr>
        <w:pStyle w:val="ListBullet"/>
      </w:pPr>
      <w:r>
        <w:t>Revisión extraordinaria si: la probabilidad de Educación cae bajo 90%; la cartera cae más de 15% desde su máximo; el tracking error supera 4%; Tomás pierde su empleo; cambia algún objetivo.</w:t>
      </w:r>
    </w:p>
    <w:p>
      <w:pPr>
        <w:pStyle w:val="ListBullet"/>
      </w:pPr>
      <w:r>
        <w:t>Informe mensual al cliente (desempeño frente al benchmark, operaciones y riesgos) y reunión trimestral, donde los clientes participan en las decisiones tácticas.</w:t>
      </w:r>
    </w:p>
    <w:p>
      <w:r>
        <w:br w:type="page"/>
      </w:r>
    </w:p>
    <w:p>
      <w:pPr>
        <w:pStyle w:val="Heading1"/>
      </w:pPr>
      <w:r>
        <w:t>3. Estrategia de inversión</w:t>
      </w:r>
    </w:p>
    <w:p>
      <w:pPr>
        <w:pStyle w:val="Heading2"/>
      </w:pPr>
      <w:r>
        <w:t>3.1 Arquitectura núcleo-satélite</w:t>
      </w:r>
    </w:p>
    <w:p>
      <w:r>
        <w:rPr>
          <w:i w:val="0"/>
        </w:rPr>
        <w:t>El núcleo pasivo (69%) captura la prima de mercado y de plazo a bajo costo y es la base de financiamiento de largo plazo. El satélite (31%) busca primas de factores documentadas, con un presupuesto de riesgo activo acotado. Las tres estrategias se eligieron porque se complementan: Momentum aporta retorno en mercados con tendencia, Low-Volatility reduce la beta de la cartera y Momentum en commodities diversifica frente a acciones y bonos.</w:t>
      </w:r>
    </w:p>
    <w:p>
      <w:pPr>
        <w:pStyle w:val="Heading2"/>
      </w:pPr>
      <w:r>
        <w:t>3.2 Estrategias activas: evidencia y resultados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587"/>
            <w:shd w:val="clear" w:color="auto" w:fill="1F3A5F"/>
          </w:tcPr>
          <w:p>
            <w:r/>
            <w:r>
              <w:rPr>
                <w:b/>
                <w:color w:val="FFFFFF"/>
                <w:sz w:val="16"/>
              </w:rPr>
              <w:t>Estrategia</w:t>
            </w:r>
          </w:p>
        </w:tc>
        <w:tc>
          <w:tcPr>
            <w:tcW w:type="dxa" w:w="2835"/>
            <w:shd w:val="clear" w:color="auto" w:fill="1F3A5F"/>
          </w:tcPr>
          <w:p>
            <w:r/>
            <w:r>
              <w:rPr>
                <w:b/>
                <w:color w:val="FFFFFF"/>
                <w:sz w:val="16"/>
              </w:rPr>
              <w:t>Implementación</w:t>
            </w:r>
          </w:p>
        </w:tc>
        <w:tc>
          <w:tcPr>
            <w:tcW w:type="dxa" w:w="2381"/>
            <w:shd w:val="clear" w:color="auto" w:fill="1F3A5F"/>
          </w:tcPr>
          <w:p>
            <w:r/>
            <w:r>
              <w:rPr>
                <w:b/>
                <w:color w:val="FFFFFF"/>
                <w:sz w:val="16"/>
              </w:rPr>
              <w:t>Evidencia académica</w:t>
            </w:r>
          </w:p>
        </w:tc>
        <w:tc>
          <w:tcPr>
            <w:tcW w:type="dxa" w:w="2381"/>
            <w:shd w:val="clear" w:color="auto" w:fill="1F3A5F"/>
          </w:tcPr>
          <w:p>
            <w:r/>
            <w:r>
              <w:rPr>
                <w:b/>
                <w:color w:val="FFFFFF"/>
                <w:sz w:val="16"/>
              </w:rPr>
              <w:t>Riesgo/retorno teórico</w:t>
            </w:r>
          </w:p>
        </w:tc>
      </w:tr>
      <w:tr>
        <w:tc>
          <w:tcPr>
            <w:tcW w:type="dxa" w:w="1587"/>
          </w:tcPr>
          <w:p>
            <w:r/>
            <w:r>
              <w:rPr>
                <w:sz w:val="16"/>
              </w:rPr>
              <w:t>Momentum en acciones</w:t>
            </w:r>
          </w:p>
        </w:tc>
        <w:tc>
          <w:tcPr>
            <w:tcW w:type="dxa" w:w="2835"/>
          </w:tcPr>
          <w:p>
            <w:r/>
            <w:r>
              <w:rPr>
                <w:sz w:val="16"/>
              </w:rPr>
              <w:t>Top 10 del S&amp;P 500 por 50% retorno 6m + 50% retorno 12m; filtros de tendencia y liquidez; máx. 25% por sector; mensual</w:t>
            </w:r>
          </w:p>
        </w:tc>
        <w:tc>
          <w:tcPr>
            <w:tcW w:type="dxa" w:w="2381"/>
          </w:tcPr>
          <w:p>
            <w:r/>
            <w:r>
              <w:rPr>
                <w:sz w:val="16"/>
              </w:rPr>
              <w:t>Jegadeesh y Titman (1993); Carhart (1997); Asness, Moskowitz y Pedersen (2013)</w:t>
            </w:r>
          </w:p>
        </w:tc>
        <w:tc>
          <w:tcPr>
            <w:tcW w:type="dxa" w:w="2381"/>
          </w:tcPr>
          <w:p>
            <w:r/>
            <w:r>
              <w:rPr>
                <w:sz w:val="16"/>
              </w:rPr>
              <w:t>Ganadores menos perdedores ~1% mensual (J&amp;T, 1965-1989); caídas abruptas en rebotes del mercado (Daniel y Moskowitz, 2016)</w:t>
            </w:r>
          </w:p>
        </w:tc>
      </w:tr>
      <w:tr>
        <w:tc>
          <w:tcPr>
            <w:tcW w:type="dxa" w:w="1587"/>
            <w:shd w:val="clear" w:color="auto" w:fill="F2F5F9"/>
          </w:tcPr>
          <w:p>
            <w:r/>
            <w:r>
              <w:rPr>
                <w:sz w:val="16"/>
              </w:rPr>
              <w:t>Low-Volatility</w:t>
            </w:r>
          </w:p>
        </w:tc>
        <w:tc>
          <w:tcPr>
            <w:tcW w:type="dxa" w:w="2835"/>
            <w:shd w:val="clear" w:color="auto" w:fill="F2F5F9"/>
          </w:tcPr>
          <w:p>
            <w:r/>
            <w:r>
              <w:rPr>
                <w:sz w:val="16"/>
              </w:rPr>
              <w:t>Top 10 del S&amp;P 500 por menor volatilidad 12m; peso igual; máx. 25% por sector; solo compras</w:t>
            </w:r>
          </w:p>
        </w:tc>
        <w:tc>
          <w:tcPr>
            <w:tcW w:type="dxa" w:w="2381"/>
            <w:shd w:val="clear" w:color="auto" w:fill="F2F5F9"/>
          </w:tcPr>
          <w:p>
            <w:r/>
            <w:r>
              <w:rPr>
                <w:sz w:val="16"/>
              </w:rPr>
              <w:t>Haugen y Heins (1975); Ang et al. (2006); Blitz y van Vliet (2007); Baker, Bradley y Wurgler (2011)</w:t>
            </w:r>
          </w:p>
        </w:tc>
        <w:tc>
          <w:tcPr>
            <w:tcW w:type="dxa" w:w="2381"/>
            <w:shd w:val="clear" w:color="auto" w:fill="F2F5F9"/>
          </w:tcPr>
          <w:p>
            <w:r/>
            <w:r>
              <w:rPr>
                <w:sz w:val="16"/>
              </w:rPr>
              <w:t>Retorno similar al mercado con ~30% menos volatilidad; beta 0,5-0,7</w:t>
            </w:r>
          </w:p>
        </w:tc>
      </w:tr>
      <w:tr>
        <w:tc>
          <w:tcPr>
            <w:tcW w:type="dxa" w:w="1587"/>
          </w:tcPr>
          <w:p>
            <w:r/>
            <w:r>
              <w:rPr>
                <w:sz w:val="16"/>
              </w:rPr>
              <w:t>Momentum en commodities</w:t>
            </w:r>
          </w:p>
        </w:tc>
        <w:tc>
          <w:tcPr>
            <w:tcW w:type="dxa" w:w="2835"/>
          </w:tcPr>
          <w:p>
            <w:r/>
            <w:r>
              <w:rPr>
                <w:sz w:val="16"/>
              </w:rPr>
              <w:t>GLD, USO, DBA, SLV, CPER: compra los que superan filtros de tendencia 3/6/12 meses y media de 200 días, con vol. &lt; 50%</w:t>
            </w:r>
          </w:p>
        </w:tc>
        <w:tc>
          <w:tcPr>
            <w:tcW w:type="dxa" w:w="2381"/>
          </w:tcPr>
          <w:p>
            <w:r/>
            <w:r>
              <w:rPr>
                <w:sz w:val="16"/>
              </w:rPr>
              <w:t>Erb y Harvey (2006); Miffre y Rallis (2007); Moskowitz, Ooi y Pedersen (2012)</w:t>
            </w:r>
          </w:p>
        </w:tc>
        <w:tc>
          <w:tcPr>
            <w:tcW w:type="dxa" w:w="2381"/>
          </w:tcPr>
          <w:p>
            <w:r/>
            <w:r>
              <w:rPr>
                <w:sz w:val="16"/>
              </w:rPr>
              <w:t>Prima del orden de 9% anual en futuros (Miffre y Rallis); baja correlación con acciones y bonos</w:t>
            </w:r>
          </w:p>
        </w:tc>
      </w:tr>
    </w:tbl>
    <w:p/>
    <w:tbl>
      <w:tblPr>
        <w:tblStyle w:val="TableGrid"/>
        <w:tblW w:type="auto" w:w="0"/>
        <w:jc w:val="center"/>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2041"/>
            <w:shd w:val="clear" w:color="auto" w:fill="1F3A5F"/>
          </w:tcPr>
          <w:p>
            <w:r/>
            <w:r>
              <w:rPr>
                <w:b/>
                <w:color w:val="FFFFFF"/>
                <w:sz w:val="16"/>
              </w:rPr>
              <w:t>Estrategia (2016-2026)</w:t>
            </w:r>
          </w:p>
        </w:tc>
        <w:tc>
          <w:tcPr>
            <w:tcW w:type="dxa" w:w="1247"/>
            <w:shd w:val="clear" w:color="auto" w:fill="1F3A5F"/>
          </w:tcPr>
          <w:p>
            <w:r/>
            <w:r>
              <w:rPr>
                <w:b/>
                <w:color w:val="FFFFFF"/>
                <w:sz w:val="16"/>
              </w:rPr>
              <w:t>Benchmark</w:t>
            </w:r>
          </w:p>
        </w:tc>
        <w:tc>
          <w:tcPr>
            <w:tcW w:type="dxa" w:w="964"/>
            <w:shd w:val="clear" w:color="auto" w:fill="1F3A5F"/>
          </w:tcPr>
          <w:p>
            <w:r/>
            <w:r>
              <w:rPr>
                <w:b/>
                <w:color w:val="FFFFFF"/>
                <w:sz w:val="16"/>
              </w:rPr>
              <w:t>Retorno anual</w:t>
            </w:r>
          </w:p>
        </w:tc>
        <w:tc>
          <w:tcPr>
            <w:tcW w:type="dxa" w:w="964"/>
            <w:shd w:val="clear" w:color="auto" w:fill="1F3A5F"/>
          </w:tcPr>
          <w:p>
            <w:r/>
            <w:r>
              <w:rPr>
                <w:b/>
                <w:color w:val="FFFFFF"/>
                <w:sz w:val="16"/>
              </w:rPr>
              <w:t>Volatilidad</w:t>
            </w:r>
          </w:p>
        </w:tc>
        <w:tc>
          <w:tcPr>
            <w:tcW w:type="dxa" w:w="737"/>
            <w:shd w:val="clear" w:color="auto" w:fill="1F3A5F"/>
          </w:tcPr>
          <w:p>
            <w:r/>
            <w:r>
              <w:rPr>
                <w:b/>
                <w:color w:val="FFFFFF"/>
                <w:sz w:val="16"/>
              </w:rPr>
              <w:t>Sharpe</w:t>
            </w:r>
          </w:p>
        </w:tc>
        <w:tc>
          <w:tcPr>
            <w:tcW w:type="dxa" w:w="680"/>
            <w:shd w:val="clear" w:color="auto" w:fill="1F3A5F"/>
          </w:tcPr>
          <w:p>
            <w:r/>
            <w:r>
              <w:rPr>
                <w:b/>
                <w:color w:val="FFFFFF"/>
                <w:sz w:val="16"/>
              </w:rPr>
              <w:t>Beta</w:t>
            </w:r>
          </w:p>
        </w:tc>
        <w:tc>
          <w:tcPr>
            <w:tcW w:type="dxa" w:w="964"/>
            <w:shd w:val="clear" w:color="auto" w:fill="1F3A5F"/>
          </w:tcPr>
          <w:p>
            <w:r/>
            <w:r>
              <w:rPr>
                <w:b/>
                <w:color w:val="FFFFFF"/>
                <w:sz w:val="16"/>
              </w:rPr>
              <w:t>Máx. caída</w:t>
            </w:r>
          </w:p>
        </w:tc>
        <w:tc>
          <w:tcPr>
            <w:tcW w:type="dxa" w:w="737"/>
            <w:shd w:val="clear" w:color="auto" w:fill="1F3A5F"/>
          </w:tcPr>
          <w:p>
            <w:r/>
            <w:r>
              <w:rPr>
                <w:b/>
                <w:color w:val="FFFFFF"/>
                <w:sz w:val="16"/>
              </w:rPr>
              <w:t>TE</w:t>
            </w:r>
          </w:p>
        </w:tc>
        <w:tc>
          <w:tcPr>
            <w:tcW w:type="dxa" w:w="737"/>
            <w:shd w:val="clear" w:color="auto" w:fill="1F3A5F"/>
          </w:tcPr>
          <w:p>
            <w:r/>
            <w:r>
              <w:rPr>
                <w:b/>
                <w:color w:val="FFFFFF"/>
                <w:sz w:val="16"/>
              </w:rPr>
              <w:t>IR</w:t>
            </w:r>
          </w:p>
        </w:tc>
      </w:tr>
      <w:tr>
        <w:tc>
          <w:tcPr>
            <w:tcW w:type="dxa" w:w="2041"/>
          </w:tcPr>
          <w:p>
            <w:r/>
            <w:r>
              <w:rPr>
                <w:sz w:val="16"/>
              </w:rPr>
              <w:t>Momentum en acciones</w:t>
            </w:r>
          </w:p>
        </w:tc>
        <w:tc>
          <w:tcPr>
            <w:tcW w:type="dxa" w:w="1247"/>
          </w:tcPr>
          <w:p>
            <w:r/>
            <w:r>
              <w:rPr>
                <w:sz w:val="16"/>
              </w:rPr>
              <w:t>QMOM</w:t>
            </w:r>
          </w:p>
        </w:tc>
        <w:tc>
          <w:tcPr>
            <w:tcW w:type="dxa" w:w="964"/>
          </w:tcPr>
          <w:p>
            <w:r/>
            <w:r>
              <w:rPr>
                <w:sz w:val="16"/>
              </w:rPr>
              <w:t>15,0%</w:t>
            </w:r>
          </w:p>
        </w:tc>
        <w:tc>
          <w:tcPr>
            <w:tcW w:type="dxa" w:w="964"/>
          </w:tcPr>
          <w:p>
            <w:r/>
            <w:r>
              <w:rPr>
                <w:sz w:val="16"/>
              </w:rPr>
              <w:t>25,7%</w:t>
            </w:r>
          </w:p>
        </w:tc>
        <w:tc>
          <w:tcPr>
            <w:tcW w:type="dxa" w:w="737"/>
          </w:tcPr>
          <w:p>
            <w:r/>
            <w:r>
              <w:rPr>
                <w:sz w:val="16"/>
              </w:rPr>
              <w:t>0,59</w:t>
            </w:r>
          </w:p>
        </w:tc>
        <w:tc>
          <w:tcPr>
            <w:tcW w:type="dxa" w:w="680"/>
          </w:tcPr>
          <w:p>
            <w:r/>
            <w:r>
              <w:rPr>
                <w:sz w:val="16"/>
              </w:rPr>
              <w:t>1,12</w:t>
            </w:r>
          </w:p>
        </w:tc>
        <w:tc>
          <w:tcPr>
            <w:tcW w:type="dxa" w:w="964"/>
          </w:tcPr>
          <w:p>
            <w:r/>
            <w:r>
              <w:rPr>
                <w:sz w:val="16"/>
              </w:rPr>
              <w:t>-37,4%</w:t>
            </w:r>
          </w:p>
        </w:tc>
        <w:tc>
          <w:tcPr>
            <w:tcW w:type="dxa" w:w="737"/>
          </w:tcPr>
          <w:p>
            <w:r/>
            <w:r>
              <w:rPr>
                <w:sz w:val="16"/>
              </w:rPr>
              <w:t>19,0%</w:t>
            </w:r>
          </w:p>
        </w:tc>
        <w:tc>
          <w:tcPr>
            <w:tcW w:type="dxa" w:w="737"/>
          </w:tcPr>
          <w:p>
            <w:r/>
            <w:r>
              <w:rPr>
                <w:sz w:val="16"/>
              </w:rPr>
              <w:t>0,20</w:t>
            </w:r>
          </w:p>
        </w:tc>
      </w:tr>
      <w:tr>
        <w:tc>
          <w:tcPr>
            <w:tcW w:type="dxa" w:w="2041"/>
            <w:shd w:val="clear" w:color="auto" w:fill="F2F5F9"/>
          </w:tcPr>
          <w:p>
            <w:r/>
            <w:r>
              <w:rPr>
                <w:sz w:val="16"/>
              </w:rPr>
              <w:t>Low-Volatility</w:t>
            </w:r>
          </w:p>
        </w:tc>
        <w:tc>
          <w:tcPr>
            <w:tcW w:type="dxa" w:w="1247"/>
            <w:shd w:val="clear" w:color="auto" w:fill="F2F5F9"/>
          </w:tcPr>
          <w:p>
            <w:r/>
            <w:r>
              <w:rPr>
                <w:sz w:val="16"/>
              </w:rPr>
              <w:t>SPLV</w:t>
            </w:r>
          </w:p>
        </w:tc>
        <w:tc>
          <w:tcPr>
            <w:tcW w:type="dxa" w:w="964"/>
            <w:shd w:val="clear" w:color="auto" w:fill="F2F5F9"/>
          </w:tcPr>
          <w:p>
            <w:r/>
            <w:r>
              <w:rPr>
                <w:sz w:val="16"/>
              </w:rPr>
              <w:t>9,6%</w:t>
            </w:r>
          </w:p>
        </w:tc>
        <w:tc>
          <w:tcPr>
            <w:tcW w:type="dxa" w:w="964"/>
            <w:shd w:val="clear" w:color="auto" w:fill="F2F5F9"/>
          </w:tcPr>
          <w:p>
            <w:r/>
            <w:r>
              <w:rPr>
                <w:sz w:val="16"/>
              </w:rPr>
              <w:t>12,3%</w:t>
            </w:r>
          </w:p>
        </w:tc>
        <w:tc>
          <w:tcPr>
            <w:tcW w:type="dxa" w:w="737"/>
            <w:shd w:val="clear" w:color="auto" w:fill="F2F5F9"/>
          </w:tcPr>
          <w:p>
            <w:r/>
            <w:r>
              <w:rPr>
                <w:sz w:val="16"/>
              </w:rPr>
              <w:t>0,64</w:t>
            </w:r>
          </w:p>
        </w:tc>
        <w:tc>
          <w:tcPr>
            <w:tcW w:type="dxa" w:w="680"/>
            <w:shd w:val="clear" w:color="auto" w:fill="F2F5F9"/>
          </w:tcPr>
          <w:p>
            <w:r/>
            <w:r>
              <w:rPr>
                <w:sz w:val="16"/>
              </w:rPr>
              <w:t>0,51</w:t>
            </w:r>
          </w:p>
        </w:tc>
        <w:tc>
          <w:tcPr>
            <w:tcW w:type="dxa" w:w="964"/>
            <w:shd w:val="clear" w:color="auto" w:fill="F2F5F9"/>
          </w:tcPr>
          <w:p>
            <w:r/>
            <w:r>
              <w:rPr>
                <w:sz w:val="16"/>
              </w:rPr>
              <w:t>-17,8%</w:t>
            </w:r>
          </w:p>
        </w:tc>
        <w:tc>
          <w:tcPr>
            <w:tcW w:type="dxa" w:w="737"/>
            <w:shd w:val="clear" w:color="auto" w:fill="F2F5F9"/>
          </w:tcPr>
          <w:p>
            <w:r/>
            <w:r>
              <w:rPr>
                <w:sz w:val="16"/>
              </w:rPr>
              <w:t>4,4%</w:t>
            </w:r>
          </w:p>
        </w:tc>
        <w:tc>
          <w:tcPr>
            <w:tcW w:type="dxa" w:w="737"/>
            <w:shd w:val="clear" w:color="auto" w:fill="F2F5F9"/>
          </w:tcPr>
          <w:p>
            <w:r/>
            <w:r>
              <w:rPr>
                <w:sz w:val="16"/>
              </w:rPr>
              <w:t>0,18</w:t>
            </w:r>
          </w:p>
        </w:tc>
      </w:tr>
      <w:tr>
        <w:tc>
          <w:tcPr>
            <w:tcW w:type="dxa" w:w="2041"/>
          </w:tcPr>
          <w:p>
            <w:r/>
            <w:r>
              <w:rPr>
                <w:sz w:val="16"/>
              </w:rPr>
              <w:t>Momentum en commodities</w:t>
            </w:r>
          </w:p>
        </w:tc>
        <w:tc>
          <w:tcPr>
            <w:tcW w:type="dxa" w:w="1247"/>
          </w:tcPr>
          <w:p>
            <w:r/>
            <w:r>
              <w:rPr>
                <w:sz w:val="16"/>
              </w:rPr>
              <w:t>Mezcla 5 ETF</w:t>
            </w:r>
          </w:p>
        </w:tc>
        <w:tc>
          <w:tcPr>
            <w:tcW w:type="dxa" w:w="964"/>
          </w:tcPr>
          <w:p>
            <w:r/>
            <w:r>
              <w:rPr>
                <w:sz w:val="16"/>
              </w:rPr>
              <w:t>10,6%</w:t>
            </w:r>
          </w:p>
        </w:tc>
        <w:tc>
          <w:tcPr>
            <w:tcW w:type="dxa" w:w="964"/>
          </w:tcPr>
          <w:p>
            <w:r/>
            <w:r>
              <w:rPr>
                <w:sz w:val="16"/>
              </w:rPr>
              <w:t>19,2%</w:t>
            </w:r>
          </w:p>
        </w:tc>
        <w:tc>
          <w:tcPr>
            <w:tcW w:type="dxa" w:w="737"/>
          </w:tcPr>
          <w:p>
            <w:r/>
            <w:r>
              <w:rPr>
                <w:sz w:val="16"/>
              </w:rPr>
              <w:t>0,51</w:t>
            </w:r>
          </w:p>
        </w:tc>
        <w:tc>
          <w:tcPr>
            <w:tcW w:type="dxa" w:w="680"/>
          </w:tcPr>
          <w:p>
            <w:r/>
            <w:r>
              <w:rPr>
                <w:sz w:val="16"/>
              </w:rPr>
              <w:t>0,17</w:t>
            </w:r>
          </w:p>
        </w:tc>
        <w:tc>
          <w:tcPr>
            <w:tcW w:type="dxa" w:w="964"/>
          </w:tcPr>
          <w:p>
            <w:r/>
            <w:r>
              <w:rPr>
                <w:sz w:val="16"/>
              </w:rPr>
              <w:t>-31,4%</w:t>
            </w:r>
          </w:p>
        </w:tc>
        <w:tc>
          <w:tcPr>
            <w:tcW w:type="dxa" w:w="737"/>
          </w:tcPr>
          <w:p>
            <w:r/>
            <w:r>
              <w:rPr>
                <w:sz w:val="16"/>
              </w:rPr>
              <w:t>17,5%</w:t>
            </w:r>
          </w:p>
        </w:tc>
        <w:tc>
          <w:tcPr>
            <w:tcW w:type="dxa" w:w="737"/>
          </w:tcPr>
          <w:p>
            <w:r/>
            <w:r>
              <w:rPr>
                <w:sz w:val="16"/>
              </w:rPr>
              <w:t>-0,04</w:t>
            </w:r>
          </w:p>
        </w:tc>
      </w:tr>
    </w:tbl>
    <w:p/>
    <w:p>
      <w:r>
        <w:rPr>
          <w:i w:val="0"/>
        </w:rPr>
        <w:t>Fundamento de los filtros: 6 y 12 meses son las ventanas de formación estándar (Jegadeesh y Titman, 1993); la media de 200 días es un filtro de tendencia clásico (Faber, 2007); el filtro de Sharpe descarta alzas con volatilidad excesiva, en la línea del control de volatilidad de Barroso y Santa-Clara (2015); el límite sectorial controla la concentración en tecnología, que además es el riesgo del capital humano de Tomás.</w:t>
      </w:r>
    </w:p>
    <w:p>
      <w:r>
        <w:rPr>
          <w:i w:val="0"/>
        </w:rPr>
        <w:t>Lo que se implementa es Low-Volatility y no Betting Against Beta: la estrategia de Frazzini y Pedersen (2014) apalanca las acciones de beta baja y vende en corto las de beta alta. Nexum no usa apalancamiento ni ventas cortas, así que su retorno proviene de la anomalía de baja volatilidad y conserva una beta de ~0,55.</w:t>
      </w:r>
    </w:p>
    <w:p>
      <w:r>
        <w:rPr>
          <w:i w:val="0"/>
        </w:rPr>
        <w:t>Discusión crítica. (i) Las primas de factores se reducen fuera de muestra y después de su publicación (McLean y Pontiff, 2016), por eso los supuestos prospectivos usan primas menores a las históricas. (ii) Momentum sufre caídas abruptas cuando el mercado rebota. (iii) Low-Volatility se concentra en utilities y REITs, sensibles a tasas; en septiembre de 2026 se observó en vivo, con la tasa a 10 años en 5,3%. (iv) Momentum en commodities es sensible a sus umbrales y su universo se amplió mirando el backtest (sección 4.4): con el universo original de 3 ETF su Sharpe cae de 0,44 a 0,23. Por eso es el sleeve con menor peso.</w:t>
      </w:r>
    </w:p>
    <w:p>
      <w:pPr>
        <w:pStyle w:val="Heading2"/>
      </w:pPr>
      <w:r>
        <w:t>3.3 Alternativas evaluadas y descartadas</w:t>
      </w:r>
    </w:p>
    <w:p>
      <w:pPr>
        <w:pStyle w:val="ListBullet"/>
      </w:pPr>
      <w:r>
        <w:t>Rotación sectorial con ETF: misma familia que Momentum (correlación ~0,67) y no mejora el Sharpe de la cartera; se pierde el rol defensivo de Low-Vol.</w:t>
      </w:r>
    </w:p>
    <w:p>
      <w:pPr>
        <w:pStyle w:val="ListBullet"/>
      </w:pPr>
      <w:r>
        <w:t>Reversión de corto plazo semanal: ~19 operaciones por semana; los costos (~10% anual a 0,1% por lado y peor con la comisión fija de StockTrak) eliminan su prima.</w:t>
      </w:r>
    </w:p>
    <w:p>
      <w:pPr>
        <w:pStyle w:val="ListBullet"/>
      </w:pPr>
      <w:r>
        <w:t>Momentum de 4 semanas y estrategias semanales: Sharpe neto de costos de 0,2 a 0,5, inferior a las estrategias mensuales.</w:t>
      </w:r>
    </w:p>
    <w:p>
      <w:pPr>
        <w:pStyle w:val="ListBullet"/>
      </w:pPr>
      <w:r>
        <w:t>Betting Against Beta: requiere apalancamiento y ventas cortas, excluidos por idoneidad.</w:t>
      </w:r>
    </w:p>
    <w:p>
      <w:pPr>
        <w:pStyle w:val="Heading2"/>
      </w:pPr>
      <w:r>
        <w:t>3.4 Moneda funcional: USD, con simulaciones en UF</w:t>
      </w:r>
    </w:p>
    <w:p>
      <w:r>
        <w:rPr>
          <w:i w:val="0"/>
        </w:rPr>
        <w:t>La moneda funcional es el USD porque todo el universo de inversión cotiza en dólares y cubrir el tipo de cambio exigiría derivados que el perfil excluye. Las necesidades del cliente (UF/CLP) se evalúan explícitamente: el Montecarlo se presenta también en UF.</w:t>
      </w:r>
    </w:p>
    <w:p>
      <w:pPr>
        <w:pStyle w:val="ListBullet"/>
      </w:pPr>
      <w:r>
        <w:rPr>
          <w:b/>
        </w:rPr>
        <w:t xml:space="preserve">Cobertura natural: </w:t>
      </w:r>
      <w:r>
        <w:t>el peso se deprecia cuando caen los mercados globales (correlación S&amp;P 500 vs. USD/CLP de -0,36). En el 10% de los peores meses del S&amp;P 500 el dólar subió 2,9% en promedio: la cartera perdió -4,4% en USD pero solo -1,5% medida en pesos.</w:t>
      </w:r>
    </w:p>
    <w:p>
      <w:pPr>
        <w:pStyle w:val="ListBullet"/>
      </w:pPr>
      <w:r>
        <w:rPr>
          <w:b/>
        </w:rPr>
        <w:t xml:space="preserve">Diversificación del riesgo país: </w:t>
      </w:r>
      <w:r>
        <w:t>el capital humano y la vivienda de la familia ya están expuestos a Chile.</w:t>
      </w:r>
    </w:p>
    <w:p>
      <w:pPr>
        <w:pStyle w:val="ListBullet"/>
      </w:pPr>
      <w:r>
        <w:rPr>
          <w:b/>
        </w:rPr>
        <w:t xml:space="preserve">Costo: </w:t>
      </w:r>
      <w:r>
        <w:t>la volatilidad del USD/CLP es 12,5% anual; medida en pesos, la volatilidad de la cartera sube de 9,9% a 12,6%, y la probabilidad conjunta histórica baja de 96,0% a 89,6%. Se monitorea en cada revisión.</w:t>
      </w:r>
    </w:p>
    <w:p>
      <w:pPr>
        <w:pStyle w:val="Heading2"/>
      </w:pPr>
      <w:r>
        <w:t>3.5 Benchmark de política</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val="clear" w:color="auto" w:fill="1F3A5F"/>
          </w:tcPr>
          <w:p>
            <w:r/>
            <w:r>
              <w:rPr>
                <w:b/>
                <w:color w:val="FFFFFF"/>
                <w:sz w:val="17"/>
              </w:rPr>
              <w:t>Sleeve</w:t>
            </w:r>
          </w:p>
        </w:tc>
        <w:tc>
          <w:tcPr>
            <w:tcW w:type="dxa" w:w="907"/>
            <w:shd w:val="clear" w:color="auto" w:fill="1F3A5F"/>
          </w:tcPr>
          <w:p>
            <w:r/>
            <w:r>
              <w:rPr>
                <w:b/>
                <w:color w:val="FFFFFF"/>
                <w:sz w:val="17"/>
              </w:rPr>
              <w:t>Peso</w:t>
            </w:r>
          </w:p>
        </w:tc>
        <w:tc>
          <w:tcPr>
            <w:tcW w:type="dxa" w:w="5783"/>
            <w:shd w:val="clear" w:color="auto" w:fill="1F3A5F"/>
          </w:tcPr>
          <w:p>
            <w:r/>
            <w:r>
              <w:rPr>
                <w:b/>
                <w:color w:val="FFFFFF"/>
                <w:sz w:val="17"/>
              </w:rPr>
              <w:t>Benchmark (índice invertible del mismo universo)</w:t>
            </w:r>
          </w:p>
        </w:tc>
      </w:tr>
      <w:tr>
        <w:tc>
          <w:tcPr>
            <w:tcW w:type="dxa" w:w="2381"/>
          </w:tcPr>
          <w:p>
            <w:r/>
            <w:r>
              <w:rPr>
                <w:sz w:val="17"/>
              </w:rPr>
              <w:t>S&amp;P 500</w:t>
            </w:r>
          </w:p>
        </w:tc>
        <w:tc>
          <w:tcPr>
            <w:tcW w:type="dxa" w:w="907"/>
          </w:tcPr>
          <w:p>
            <w:r/>
            <w:r>
              <w:rPr>
                <w:sz w:val="17"/>
              </w:rPr>
              <w:t>37,9%</w:t>
            </w:r>
          </w:p>
        </w:tc>
        <w:tc>
          <w:tcPr>
            <w:tcW w:type="dxa" w:w="5783"/>
          </w:tcPr>
          <w:p>
            <w:r/>
            <w:r>
              <w:rPr>
                <w:sz w:val="17"/>
              </w:rPr>
              <w:t>S&amp;P 500 (SPY)</w:t>
            </w:r>
          </w:p>
        </w:tc>
      </w:tr>
      <w:tr>
        <w:tc>
          <w:tcPr>
            <w:tcW w:type="dxa" w:w="2381"/>
            <w:shd w:val="clear" w:color="auto" w:fill="F2F5F9"/>
          </w:tcPr>
          <w:p>
            <w:r/>
            <w:r>
              <w:rPr>
                <w:sz w:val="17"/>
              </w:rPr>
              <w:t>Tesoro 10-20 años</w:t>
            </w:r>
          </w:p>
        </w:tc>
        <w:tc>
          <w:tcPr>
            <w:tcW w:type="dxa" w:w="907"/>
            <w:shd w:val="clear" w:color="auto" w:fill="F2F5F9"/>
          </w:tcPr>
          <w:p>
            <w:r/>
            <w:r>
              <w:rPr>
                <w:sz w:val="17"/>
              </w:rPr>
              <w:t>16,9%</w:t>
            </w:r>
          </w:p>
        </w:tc>
        <w:tc>
          <w:tcPr>
            <w:tcW w:type="dxa" w:w="5783"/>
            <w:shd w:val="clear" w:color="auto" w:fill="F2F5F9"/>
          </w:tcPr>
          <w:p>
            <w:r/>
            <w:r>
              <w:rPr>
                <w:sz w:val="17"/>
              </w:rPr>
              <w:t>ICE U.S. Treasury 10-20 Year Index (TLH)</w:t>
            </w:r>
          </w:p>
        </w:tc>
      </w:tr>
      <w:tr>
        <w:tc>
          <w:tcPr>
            <w:tcW w:type="dxa" w:w="2381"/>
          </w:tcPr>
          <w:p>
            <w:r/>
            <w:r>
              <w:rPr>
                <w:sz w:val="17"/>
              </w:rPr>
              <w:t>Corporativos largo plazo</w:t>
            </w:r>
          </w:p>
        </w:tc>
        <w:tc>
          <w:tcPr>
            <w:tcW w:type="dxa" w:w="907"/>
          </w:tcPr>
          <w:p>
            <w:r/>
            <w:r>
              <w:rPr>
                <w:sz w:val="17"/>
              </w:rPr>
              <w:t>14,6%</w:t>
            </w:r>
          </w:p>
        </w:tc>
        <w:tc>
          <w:tcPr>
            <w:tcW w:type="dxa" w:w="5783"/>
          </w:tcPr>
          <w:p>
            <w:r/>
            <w:r>
              <w:rPr>
                <w:sz w:val="17"/>
              </w:rPr>
              <w:t>Bloomberg U.S. Long Corporate Index (VCLT)</w:t>
            </w:r>
          </w:p>
        </w:tc>
      </w:tr>
      <w:tr>
        <w:tc>
          <w:tcPr>
            <w:tcW w:type="dxa" w:w="2381"/>
            <w:shd w:val="clear" w:color="auto" w:fill="F2F5F9"/>
          </w:tcPr>
          <w:p>
            <w:r/>
            <w:r>
              <w:rPr>
                <w:sz w:val="17"/>
              </w:rPr>
              <w:t>Momentum en acciones</w:t>
            </w:r>
          </w:p>
        </w:tc>
        <w:tc>
          <w:tcPr>
            <w:tcW w:type="dxa" w:w="907"/>
            <w:shd w:val="clear" w:color="auto" w:fill="F2F5F9"/>
          </w:tcPr>
          <w:p>
            <w:r/>
            <w:r>
              <w:rPr>
                <w:sz w:val="17"/>
              </w:rPr>
              <w:t>7,1%</w:t>
            </w:r>
          </w:p>
        </w:tc>
        <w:tc>
          <w:tcPr>
            <w:tcW w:type="dxa" w:w="5783"/>
            <w:shd w:val="clear" w:color="auto" w:fill="F2F5F9"/>
          </w:tcPr>
          <w:p>
            <w:r/>
            <w:r>
              <w:rPr>
                <w:sz w:val="17"/>
              </w:rPr>
              <w:t>Alpha Architect U.S. Quantitative Momentum (QMOM)</w:t>
            </w:r>
          </w:p>
        </w:tc>
      </w:tr>
      <w:tr>
        <w:tc>
          <w:tcPr>
            <w:tcW w:type="dxa" w:w="2381"/>
          </w:tcPr>
          <w:p>
            <w:r/>
            <w:r>
              <w:rPr>
                <w:sz w:val="17"/>
              </w:rPr>
              <w:t>Low-Volatility</w:t>
            </w:r>
          </w:p>
        </w:tc>
        <w:tc>
          <w:tcPr>
            <w:tcW w:type="dxa" w:w="907"/>
          </w:tcPr>
          <w:p>
            <w:r/>
            <w:r>
              <w:rPr>
                <w:sz w:val="17"/>
              </w:rPr>
              <w:t>17,5%</w:t>
            </w:r>
          </w:p>
        </w:tc>
        <w:tc>
          <w:tcPr>
            <w:tcW w:type="dxa" w:w="5783"/>
          </w:tcPr>
          <w:p>
            <w:r/>
            <w:r>
              <w:rPr>
                <w:sz w:val="17"/>
              </w:rPr>
              <w:t>S&amp;P 500 Low Volatility Index (SPLV)</w:t>
            </w:r>
          </w:p>
        </w:tc>
      </w:tr>
      <w:tr>
        <w:tc>
          <w:tcPr>
            <w:tcW w:type="dxa" w:w="2381"/>
            <w:shd w:val="clear" w:color="auto" w:fill="F2F5F9"/>
          </w:tcPr>
          <w:p>
            <w:r/>
            <w:r>
              <w:rPr>
                <w:sz w:val="17"/>
              </w:rPr>
              <w:t>Momentum en commodities</w:t>
            </w:r>
          </w:p>
        </w:tc>
        <w:tc>
          <w:tcPr>
            <w:tcW w:type="dxa" w:w="907"/>
            <w:shd w:val="clear" w:color="auto" w:fill="F2F5F9"/>
          </w:tcPr>
          <w:p>
            <w:r/>
            <w:r>
              <w:rPr>
                <w:sz w:val="17"/>
              </w:rPr>
              <w:t>6,1%</w:t>
            </w:r>
          </w:p>
        </w:tc>
        <w:tc>
          <w:tcPr>
            <w:tcW w:type="dxa" w:w="5783"/>
            <w:shd w:val="clear" w:color="auto" w:fill="F2F5F9"/>
          </w:tcPr>
          <w:p>
            <w:r/>
            <w:r>
              <w:rPr>
                <w:sz w:val="17"/>
              </w:rPr>
              <w:t>Mezcla igual ponderada GLD/USO/DBA/SLV/CPER</w:t>
            </w:r>
          </w:p>
        </w:tc>
      </w:tr>
    </w:tbl>
    <w:p>
      <w:r>
        <w:rPr>
          <w:i/>
          <w:sz w:val="16"/>
        </w:rPr>
        <w:t>Benchmark compuesto ponderado por la asignación estratégica y expresado en USD. Reemplaza la tasa de política de la Fed y el MSCI ACWI de la versión anterior, que no eran invertibles ni representaban el universo. Limitación: QMOM existe desde dic-2015, por lo que las métricas relativas usan 2016-2026.</w:t>
      </w:r>
    </w:p>
    <w:p>
      <w:pPr>
        <w:pStyle w:val="Heading2"/>
      </w:pPr>
      <w:r>
        <w:t>3.6 Métricas de desempeño</w:t>
      </w:r>
    </w:p>
    <w:tbl>
      <w:tblPr>
        <w:tblStyle w:val="TableGrid"/>
        <w:tblW w:type="auto" w:w="0"/>
        <w:jc w:val="center"/>
        <w:tblLook w:firstColumn="1" w:firstRow="1" w:lastColumn="0" w:lastRow="0" w:noHBand="0" w:noVBand="1" w:val="04A0"/>
      </w:tblPr>
      <w:tblGrid>
        <w:gridCol w:w="3211"/>
        <w:gridCol w:w="3211"/>
        <w:gridCol w:w="3211"/>
      </w:tblGrid>
      <w:tr>
        <w:tc>
          <w:tcPr>
            <w:tcW w:type="dxa" w:w="2268"/>
            <w:shd w:val="clear" w:color="auto" w:fill="1F3A5F"/>
          </w:tcPr>
          <w:p>
            <w:r/>
            <w:r>
              <w:rPr>
                <w:b/>
                <w:color w:val="FFFFFF"/>
                <w:sz w:val="17"/>
              </w:rPr>
              <w:t>Métrica</w:t>
            </w:r>
          </w:p>
        </w:tc>
        <w:tc>
          <w:tcPr>
            <w:tcW w:type="dxa" w:w="3515"/>
            <w:shd w:val="clear" w:color="auto" w:fill="1F3A5F"/>
          </w:tcPr>
          <w:p>
            <w:r/>
            <w:r>
              <w:rPr>
                <w:b/>
                <w:color w:val="FFFFFF"/>
                <w:sz w:val="17"/>
              </w:rPr>
              <w:t>Para qué se usa</w:t>
            </w:r>
          </w:p>
        </w:tc>
        <w:tc>
          <w:tcPr>
            <w:tcW w:type="dxa" w:w="3288"/>
            <w:shd w:val="clear" w:color="auto" w:fill="1F3A5F"/>
          </w:tcPr>
          <w:p>
            <w:r/>
            <w:r>
              <w:rPr>
                <w:b/>
                <w:color w:val="FFFFFF"/>
                <w:sz w:val="17"/>
              </w:rPr>
              <w:t>Limitación</w:t>
            </w:r>
          </w:p>
        </w:tc>
      </w:tr>
      <w:tr>
        <w:tc>
          <w:tcPr>
            <w:tcW w:type="dxa" w:w="2268"/>
          </w:tcPr>
          <w:p>
            <w:r/>
            <w:r>
              <w:rPr>
                <w:sz w:val="17"/>
              </w:rPr>
              <w:t>Sharpe</w:t>
            </w:r>
          </w:p>
        </w:tc>
        <w:tc>
          <w:tcPr>
            <w:tcW w:type="dxa" w:w="3515"/>
          </w:tcPr>
          <w:p>
            <w:r/>
            <w:r>
              <w:rPr>
                <w:sz w:val="17"/>
              </w:rPr>
              <w:t>Retorno por unidad de riesgo total</w:t>
            </w:r>
          </w:p>
        </w:tc>
        <w:tc>
          <w:tcPr>
            <w:tcW w:type="dxa" w:w="3288"/>
          </w:tcPr>
          <w:p>
            <w:r/>
            <w:r>
              <w:rPr>
                <w:sz w:val="17"/>
              </w:rPr>
              <w:t>Supone normalidad; penaliza la volatilidad al alza</w:t>
            </w:r>
          </w:p>
        </w:tc>
      </w:tr>
      <w:tr>
        <w:tc>
          <w:tcPr>
            <w:tcW w:type="dxa" w:w="2268"/>
            <w:shd w:val="clear" w:color="auto" w:fill="F2F5F9"/>
          </w:tcPr>
          <w:p>
            <w:r/>
            <w:r>
              <w:rPr>
                <w:sz w:val="17"/>
              </w:rPr>
              <w:t>Sortino</w:t>
            </w:r>
          </w:p>
        </w:tc>
        <w:tc>
          <w:tcPr>
            <w:tcW w:type="dxa" w:w="3515"/>
            <w:shd w:val="clear" w:color="auto" w:fill="F2F5F9"/>
          </w:tcPr>
          <w:p>
            <w:r/>
            <w:r>
              <w:rPr>
                <w:sz w:val="17"/>
              </w:rPr>
              <w:t>Penaliza solo la volatilidad a la baja</w:t>
            </w:r>
          </w:p>
        </w:tc>
        <w:tc>
          <w:tcPr>
            <w:tcW w:type="dxa" w:w="3288"/>
            <w:shd w:val="clear" w:color="auto" w:fill="F2F5F9"/>
          </w:tcPr>
          <w:p>
            <w:r/>
            <w:r>
              <w:rPr>
                <w:sz w:val="17"/>
              </w:rPr>
              <w:t>Inestable con pocas observaciones</w:t>
            </w:r>
          </w:p>
        </w:tc>
      </w:tr>
      <w:tr>
        <w:tc>
          <w:tcPr>
            <w:tcW w:type="dxa" w:w="2268"/>
          </w:tcPr>
          <w:p>
            <w:r/>
            <w:r>
              <w:rPr>
                <w:sz w:val="17"/>
              </w:rPr>
              <w:t>Treynor y alfa de Jensen</w:t>
            </w:r>
          </w:p>
        </w:tc>
        <w:tc>
          <w:tcPr>
            <w:tcW w:type="dxa" w:w="3515"/>
          </w:tcPr>
          <w:p>
            <w:r/>
            <w:r>
              <w:rPr>
                <w:sz w:val="17"/>
              </w:rPr>
              <w:t>Retorno por unidad de riesgo sistemático y valor agregado ajustado por beta</w:t>
            </w:r>
          </w:p>
        </w:tc>
        <w:tc>
          <w:tcPr>
            <w:tcW w:type="dxa" w:w="3288"/>
          </w:tcPr>
          <w:p>
            <w:r/>
            <w:r>
              <w:rPr>
                <w:sz w:val="17"/>
              </w:rPr>
              <w:t>Dependen del modelo de mercado y del beta estimado</w:t>
            </w:r>
          </w:p>
        </w:tc>
      </w:tr>
      <w:tr>
        <w:tc>
          <w:tcPr>
            <w:tcW w:type="dxa" w:w="2268"/>
            <w:shd w:val="clear" w:color="auto" w:fill="F2F5F9"/>
          </w:tcPr>
          <w:p>
            <w:r/>
            <w:r>
              <w:rPr>
                <w:sz w:val="17"/>
              </w:rPr>
              <w:t>Tracking error e information ratio</w:t>
            </w:r>
          </w:p>
        </w:tc>
        <w:tc>
          <w:tcPr>
            <w:tcW w:type="dxa" w:w="3515"/>
            <w:shd w:val="clear" w:color="auto" w:fill="F2F5F9"/>
          </w:tcPr>
          <w:p>
            <w:r/>
            <w:r>
              <w:rPr>
                <w:sz w:val="17"/>
              </w:rPr>
              <w:t>Riesgo activo y su eficiencia frente al benchmark</w:t>
            </w:r>
          </w:p>
        </w:tc>
        <w:tc>
          <w:tcPr>
            <w:tcW w:type="dxa" w:w="3288"/>
            <w:shd w:val="clear" w:color="auto" w:fill="F2F5F9"/>
          </w:tcPr>
          <w:p>
            <w:r/>
            <w:r>
              <w:rPr>
                <w:sz w:val="17"/>
              </w:rPr>
              <w:t>Requieren un benchmark bien construido</w:t>
            </w:r>
          </w:p>
        </w:tc>
      </w:tr>
      <w:tr>
        <w:tc>
          <w:tcPr>
            <w:tcW w:type="dxa" w:w="2268"/>
          </w:tcPr>
          <w:p>
            <w:r/>
            <w:r>
              <w:rPr>
                <w:sz w:val="17"/>
              </w:rPr>
              <w:t>Máxima caída y Calmar</w:t>
            </w:r>
          </w:p>
        </w:tc>
        <w:tc>
          <w:tcPr>
            <w:tcW w:type="dxa" w:w="3515"/>
          </w:tcPr>
          <w:p>
            <w:r/>
            <w:r>
              <w:rPr>
                <w:sz w:val="17"/>
              </w:rPr>
              <w:t>Tolerancia conductual a pérdidas</w:t>
            </w:r>
          </w:p>
        </w:tc>
        <w:tc>
          <w:tcPr>
            <w:tcW w:type="dxa" w:w="3288"/>
          </w:tcPr>
          <w:p>
            <w:r/>
            <w:r>
              <w:rPr>
                <w:sz w:val="17"/>
              </w:rPr>
              <w:t>Dependen de la ventana</w:t>
            </w:r>
          </w:p>
        </w:tc>
      </w:tr>
      <w:tr>
        <w:tc>
          <w:tcPr>
            <w:tcW w:type="dxa" w:w="2268"/>
            <w:shd w:val="clear" w:color="auto" w:fill="F2F5F9"/>
          </w:tcPr>
          <w:p>
            <w:r/>
            <w:r>
              <w:rPr>
                <w:sz w:val="17"/>
              </w:rPr>
              <w:t>VaR y CVaR 95% mensual</w:t>
            </w:r>
          </w:p>
        </w:tc>
        <w:tc>
          <w:tcPr>
            <w:tcW w:type="dxa" w:w="3515"/>
            <w:shd w:val="clear" w:color="auto" w:fill="F2F5F9"/>
          </w:tcPr>
          <w:p>
            <w:r/>
            <w:r>
              <w:rPr>
                <w:sz w:val="17"/>
              </w:rPr>
              <w:t>Pérdida en un mes malo y en la cola</w:t>
            </w:r>
          </w:p>
        </w:tc>
        <w:tc>
          <w:tcPr>
            <w:tcW w:type="dxa" w:w="3288"/>
            <w:shd w:val="clear" w:color="auto" w:fill="F2F5F9"/>
          </w:tcPr>
          <w:p>
            <w:r/>
            <w:r>
              <w:rPr>
                <w:sz w:val="17"/>
              </w:rPr>
              <w:t>El VaR no informa el tamaño de la cola; por eso se agrega CVaR</w:t>
            </w:r>
          </w:p>
        </w:tc>
      </w:tr>
      <w:tr>
        <w:tc>
          <w:tcPr>
            <w:tcW w:type="dxa" w:w="2268"/>
          </w:tcPr>
          <w:p>
            <w:r/>
            <w:r>
              <w:rPr>
                <w:sz w:val="17"/>
              </w:rPr>
              <w:t>Probabilidad de éxito por objetivo</w:t>
            </w:r>
          </w:p>
        </w:tc>
        <w:tc>
          <w:tcPr>
            <w:tcW w:type="dxa" w:w="3515"/>
          </w:tcPr>
          <w:p>
            <w:r/>
            <w:r>
              <w:rPr>
                <w:sz w:val="17"/>
              </w:rPr>
              <w:t>Métrica central de un IPS por objetivos</w:t>
            </w:r>
          </w:p>
        </w:tc>
        <w:tc>
          <w:tcPr>
            <w:tcW w:type="dxa" w:w="3288"/>
          </w:tcPr>
          <w:p>
            <w:r/>
            <w:r>
              <w:rPr>
                <w:sz w:val="17"/>
              </w:rPr>
              <w:t>Depende de los supuestos del Montecarlo</w:t>
            </w:r>
          </w:p>
        </w:tc>
      </w:tr>
    </w:tbl>
    <w:p/>
    <w:p>
      <w:pPr>
        <w:pStyle w:val="Heading2"/>
      </w:pPr>
      <w:r>
        <w:t>3.7 Tracking error objetivo</w:t>
      </w:r>
    </w:p>
    <w:p>
      <w:r>
        <w:rPr>
          <w:i w:val="0"/>
        </w:rPr>
        <w:t>El límite se deriva del presupuesto de riesgo activo (Grinold y Kahn, 2000): con un alfa objetivo de 1,5% anual y un information ratio objetivo de 0,5, el TE objetivo es 1,5% / 0,5 = 3,0%; el máximo es 4% (alfa de 2% con el mismo IR). El TE ex-ante con los pesos aprobados es 2,0% (2016-2026) y 2,4% en los últimos 36 meses, dentro del objetivo; el information ratio realizado es 0,18.</w:t>
      </w:r>
    </w:p>
    <w:p>
      <w:r>
        <w:br w:type="page"/>
      </w:r>
    </w:p>
    <w:p>
      <w:pPr>
        <w:pStyle w:val="Heading1"/>
      </w:pPr>
      <w:r>
        <w:t>4. Backtesting y simulación de Montecarlo</w:t>
      </w:r>
    </w:p>
    <w:p>
      <w:pPr>
        <w:pStyle w:val="Heading2"/>
      </w:pPr>
      <w:r>
        <w:t>4.1 Datos, período y supuestos</w:t>
      </w:r>
    </w:p>
    <w:p>
      <w:pPr>
        <w:pStyle w:val="ListBullet"/>
      </w:pPr>
      <w:r>
        <w:t>Acciones del S&amp;P 500 con membresía histórica point-in-time (2009-2026): sin sesgo de supervivencia en los miembros del índice.</w:t>
      </w:r>
    </w:p>
    <w:p>
      <w:pPr>
        <w:pStyle w:val="ListBullet"/>
      </w:pPr>
      <w:r>
        <w:t>ETF del núcleo, de commodities y benchmarks: Yahoo Finance, precios ajustados por dividendos.</w:t>
      </w:r>
    </w:p>
    <w:p>
      <w:pPr>
        <w:pStyle w:val="ListBullet"/>
      </w:pPr>
      <w:r>
        <w:t>Ventana de evaluación: ene-2013 a ago-2026 (164 meses); métricas relativas, 2016-2026 (128 meses).</w:t>
      </w:r>
    </w:p>
    <w:p>
      <w:pPr>
        <w:pStyle w:val="ListBullet"/>
      </w:pPr>
      <w:r>
        <w:t>Señal con información disponible al cierre del mes t; retorno desde t+1 (sin anticipación). Costo de 0,1% sobre la rotación.</w:t>
      </w:r>
    </w:p>
    <w:p>
      <w:pPr>
        <w:pStyle w:val="ListBullet"/>
      </w:pPr>
      <w:r>
        <w:t>Montecarlo: 20.000 escenarios de 50 años por bootstrap mensual; inflación de EE.UU. de 2%; capital invertido de USD 144.000 (neto de la reserva de 4%).</w:t>
      </w:r>
    </w:p>
    <w:p>
      <w:pPr>
        <w:pStyle w:val="Heading2"/>
      </w:pPr>
      <w:r>
        <w:t>4.2 Montecarlo: probabilidad de cumplir los objetivos</w:t>
      </w:r>
    </w:p>
    <w:p>
      <w:pPr>
        <w:jc w:val="center"/>
      </w:pPr>
      <w:r>
        <w:drawing>
          <wp:inline xmlns:a="http://schemas.openxmlformats.org/drawingml/2006/main" xmlns:pic="http://schemas.openxmlformats.org/drawingml/2006/picture">
            <wp:extent cx="5760000" cy="2560000"/>
            <wp:docPr id="5" name="Picture 5"/>
            <wp:cNvGraphicFramePr>
              <a:graphicFrameLocks noChangeAspect="1"/>
            </wp:cNvGraphicFramePr>
            <a:graphic>
              <a:graphicData uri="http://schemas.openxmlformats.org/drawingml/2006/picture">
                <pic:pic>
                  <pic:nvPicPr>
                    <pic:cNvPr id="0" name="f4_montecarlo.png"/>
                    <pic:cNvPicPr/>
                  </pic:nvPicPr>
                  <pic:blipFill>
                    <a:blip r:embed="rId13"/>
                    <a:stretch>
                      <a:fillRect/>
                    </a:stretch>
                  </pic:blipFill>
                  <pic:spPr>
                    <a:xfrm>
                      <a:off x="0" y="0"/>
                      <a:ext cx="5760000" cy="2560000"/>
                    </a:xfrm>
                    <a:prstGeom prst="rect"/>
                  </pic:spPr>
                </pic:pic>
              </a:graphicData>
            </a:graphic>
          </wp:inline>
        </w:drawing>
      </w:r>
    </w:p>
    <w:p>
      <w:pPr>
        <w:jc w:val="center"/>
      </w:pPr>
      <w:r>
        <w:rPr>
          <w:i/>
          <w:sz w:val="16"/>
        </w:rPr>
        <w:t>Figura 5. Probabilidad de cumplir cada objetivo. Fuente: codigo/montecarlo.py; hoja 08_Montecarlo.</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134"/>
            <w:shd w:val="clear" w:color="auto" w:fill="1F3A5F"/>
          </w:tcPr>
          <w:p>
            <w:r/>
            <w:r>
              <w:rPr>
                <w:b/>
                <w:color w:val="FFFFFF"/>
                <w:sz w:val="16"/>
              </w:rPr>
              <w:t>Cartera</w:t>
            </w:r>
          </w:p>
        </w:tc>
        <w:tc>
          <w:tcPr>
            <w:tcW w:type="dxa" w:w="1814"/>
            <w:shd w:val="clear" w:color="auto" w:fill="1F3A5F"/>
          </w:tcPr>
          <w:p>
            <w:r/>
            <w:r>
              <w:rPr>
                <w:b/>
                <w:color w:val="FFFFFF"/>
                <w:sz w:val="16"/>
              </w:rPr>
              <w:t>Escenario</w:t>
            </w:r>
          </w:p>
        </w:tc>
        <w:tc>
          <w:tcPr>
            <w:tcW w:type="dxa" w:w="794"/>
            <w:shd w:val="clear" w:color="auto" w:fill="1F3A5F"/>
          </w:tcPr>
          <w:p>
            <w:r/>
            <w:r>
              <w:rPr>
                <w:b/>
                <w:color w:val="FFFFFF"/>
                <w:sz w:val="16"/>
              </w:rPr>
              <w:t>Moneda</w:t>
            </w:r>
          </w:p>
        </w:tc>
        <w:tc>
          <w:tcPr>
            <w:tcW w:type="dxa" w:w="964"/>
            <w:shd w:val="clear" w:color="auto" w:fill="1F3A5F"/>
          </w:tcPr>
          <w:p>
            <w:r/>
            <w:r>
              <w:rPr>
                <w:b/>
                <w:color w:val="FFFFFF"/>
                <w:sz w:val="16"/>
              </w:rPr>
              <w:t>Retorno real</w:t>
            </w:r>
          </w:p>
        </w:tc>
        <w:tc>
          <w:tcPr>
            <w:tcW w:type="dxa" w:w="1077"/>
            <w:shd w:val="clear" w:color="auto" w:fill="1F3A5F"/>
          </w:tcPr>
          <w:p>
            <w:r/>
            <w:r>
              <w:rPr>
                <w:b/>
                <w:color w:val="FFFFFF"/>
                <w:sz w:val="16"/>
              </w:rPr>
              <w:t>P(Educación)</w:t>
            </w:r>
          </w:p>
        </w:tc>
        <w:tc>
          <w:tcPr>
            <w:tcW w:type="dxa" w:w="1077"/>
            <w:shd w:val="clear" w:color="auto" w:fill="1F3A5F"/>
          </w:tcPr>
          <w:p>
            <w:r/>
            <w:r>
              <w:rPr>
                <w:b/>
                <w:color w:val="FFFFFF"/>
                <w:sz w:val="16"/>
              </w:rPr>
              <w:t>P(Villarrica)</w:t>
            </w:r>
          </w:p>
        </w:tc>
        <w:tc>
          <w:tcPr>
            <w:tcW w:type="dxa" w:w="1077"/>
            <w:shd w:val="clear" w:color="auto" w:fill="1F3A5F"/>
          </w:tcPr>
          <w:p>
            <w:r/>
            <w:r>
              <w:rPr>
                <w:b/>
                <w:color w:val="FFFFFF"/>
                <w:sz w:val="16"/>
              </w:rPr>
              <w:t>P(Herencia)</w:t>
            </w:r>
          </w:p>
        </w:tc>
        <w:tc>
          <w:tcPr>
            <w:tcW w:type="dxa" w:w="1134"/>
            <w:shd w:val="clear" w:color="auto" w:fill="1F3A5F"/>
          </w:tcPr>
          <w:p>
            <w:r/>
            <w:r>
              <w:rPr>
                <w:b/>
                <w:color w:val="FFFFFF"/>
                <w:sz w:val="16"/>
              </w:rPr>
              <w:t>P(3 objetivos)</w:t>
            </w:r>
          </w:p>
        </w:tc>
      </w:tr>
      <w:tr>
        <w:tc>
          <w:tcPr>
            <w:tcW w:type="dxa" w:w="1134"/>
          </w:tcPr>
          <w:p>
            <w:r/>
            <w:r>
              <w:rPr>
                <w:sz w:val="16"/>
              </w:rPr>
              <w:t>Nexum</w:t>
            </w:r>
          </w:p>
        </w:tc>
        <w:tc>
          <w:tcPr>
            <w:tcW w:type="dxa" w:w="1814"/>
          </w:tcPr>
          <w:p>
            <w:r/>
            <w:r>
              <w:rPr>
                <w:sz w:val="16"/>
              </w:rPr>
              <w:t>Histórico 2013-2026</w:t>
            </w:r>
          </w:p>
        </w:tc>
        <w:tc>
          <w:tcPr>
            <w:tcW w:type="dxa" w:w="794"/>
          </w:tcPr>
          <w:p>
            <w:r/>
            <w:r>
              <w:rPr>
                <w:sz w:val="16"/>
              </w:rPr>
              <w:t>USD</w:t>
            </w:r>
          </w:p>
        </w:tc>
        <w:tc>
          <w:tcPr>
            <w:tcW w:type="dxa" w:w="964"/>
          </w:tcPr>
          <w:p>
            <w:r/>
            <w:r>
              <w:rPr>
                <w:sz w:val="16"/>
              </w:rPr>
              <w:t>7,8%</w:t>
            </w:r>
          </w:p>
        </w:tc>
        <w:tc>
          <w:tcPr>
            <w:tcW w:type="dxa" w:w="1077"/>
          </w:tcPr>
          <w:p>
            <w:r/>
            <w:r>
              <w:rPr>
                <w:sz w:val="16"/>
              </w:rPr>
              <w:t>100,0%</w:t>
            </w:r>
          </w:p>
        </w:tc>
        <w:tc>
          <w:tcPr>
            <w:tcW w:type="dxa" w:w="1077"/>
          </w:tcPr>
          <w:p>
            <w:r/>
            <w:r>
              <w:rPr>
                <w:sz w:val="16"/>
              </w:rPr>
              <w:t>98,1%</w:t>
            </w:r>
          </w:p>
        </w:tc>
        <w:tc>
          <w:tcPr>
            <w:tcW w:type="dxa" w:w="1077"/>
          </w:tcPr>
          <w:p>
            <w:r/>
            <w:r>
              <w:rPr>
                <w:sz w:val="16"/>
              </w:rPr>
              <w:t>96,0%</w:t>
            </w:r>
          </w:p>
        </w:tc>
        <w:tc>
          <w:tcPr>
            <w:tcW w:type="dxa" w:w="1134"/>
          </w:tcPr>
          <w:p>
            <w:r/>
            <w:r>
              <w:rPr>
                <w:sz w:val="16"/>
              </w:rPr>
              <w:t>96,0%</w:t>
            </w:r>
          </w:p>
        </w:tc>
      </w:tr>
      <w:tr>
        <w:tc>
          <w:tcPr>
            <w:tcW w:type="dxa" w:w="1134"/>
            <w:shd w:val="clear" w:color="auto" w:fill="F2F5F9"/>
          </w:tcPr>
          <w:p>
            <w:r/>
            <w:r>
              <w:rPr>
                <w:sz w:val="16"/>
              </w:rPr>
              <w:t>Nexum</w:t>
            </w:r>
          </w:p>
        </w:tc>
        <w:tc>
          <w:tcPr>
            <w:tcW w:type="dxa" w:w="1814"/>
            <w:shd w:val="clear" w:color="auto" w:fill="F2F5F9"/>
          </w:tcPr>
          <w:p>
            <w:r/>
            <w:r>
              <w:rPr>
                <w:sz w:val="16"/>
              </w:rPr>
              <w:t>Histórico 2013-2026</w:t>
            </w:r>
          </w:p>
        </w:tc>
        <w:tc>
          <w:tcPr>
            <w:tcW w:type="dxa" w:w="794"/>
            <w:shd w:val="clear" w:color="auto" w:fill="F2F5F9"/>
          </w:tcPr>
          <w:p>
            <w:r/>
            <w:r>
              <w:rPr>
                <w:sz w:val="16"/>
              </w:rPr>
              <w:t>UF</w:t>
            </w:r>
          </w:p>
        </w:tc>
        <w:tc>
          <w:tcPr>
            <w:tcW w:type="dxa" w:w="964"/>
            <w:shd w:val="clear" w:color="auto" w:fill="F2F5F9"/>
          </w:tcPr>
          <w:p>
            <w:r/>
            <w:r>
              <w:rPr>
                <w:sz w:val="16"/>
              </w:rPr>
              <w:t>7,8%</w:t>
            </w:r>
          </w:p>
        </w:tc>
        <w:tc>
          <w:tcPr>
            <w:tcW w:type="dxa" w:w="1077"/>
            <w:shd w:val="clear" w:color="auto" w:fill="F2F5F9"/>
          </w:tcPr>
          <w:p>
            <w:r/>
            <w:r>
              <w:rPr>
                <w:sz w:val="16"/>
              </w:rPr>
              <w:t>100,0%</w:t>
            </w:r>
          </w:p>
        </w:tc>
        <w:tc>
          <w:tcPr>
            <w:tcW w:type="dxa" w:w="1077"/>
            <w:shd w:val="clear" w:color="auto" w:fill="F2F5F9"/>
          </w:tcPr>
          <w:p>
            <w:r/>
            <w:r>
              <w:rPr>
                <w:sz w:val="16"/>
              </w:rPr>
              <w:t>92,0%</w:t>
            </w:r>
          </w:p>
        </w:tc>
        <w:tc>
          <w:tcPr>
            <w:tcW w:type="dxa" w:w="1077"/>
            <w:shd w:val="clear" w:color="auto" w:fill="F2F5F9"/>
          </w:tcPr>
          <w:p>
            <w:r/>
            <w:r>
              <w:rPr>
                <w:sz w:val="16"/>
              </w:rPr>
              <w:t>89,6%</w:t>
            </w:r>
          </w:p>
        </w:tc>
        <w:tc>
          <w:tcPr>
            <w:tcW w:type="dxa" w:w="1134"/>
            <w:shd w:val="clear" w:color="auto" w:fill="F2F5F9"/>
          </w:tcPr>
          <w:p>
            <w:r/>
            <w:r>
              <w:rPr>
                <w:sz w:val="16"/>
              </w:rPr>
              <w:t>89,6%</w:t>
            </w:r>
          </w:p>
        </w:tc>
      </w:tr>
      <w:tr>
        <w:tc>
          <w:tcPr>
            <w:tcW w:type="dxa" w:w="1134"/>
          </w:tcPr>
          <w:p>
            <w:r/>
            <w:r>
              <w:rPr>
                <w:sz w:val="16"/>
              </w:rPr>
              <w:t>Nexum</w:t>
            </w:r>
          </w:p>
        </w:tc>
        <w:tc>
          <w:tcPr>
            <w:tcW w:type="dxa" w:w="1814"/>
          </w:tcPr>
          <w:p>
            <w:r/>
            <w:r>
              <w:rPr>
                <w:sz w:val="16"/>
              </w:rPr>
              <w:t>Prospectivo</w:t>
            </w:r>
          </w:p>
        </w:tc>
        <w:tc>
          <w:tcPr>
            <w:tcW w:type="dxa" w:w="794"/>
          </w:tcPr>
          <w:p>
            <w:r/>
            <w:r>
              <w:rPr>
                <w:sz w:val="16"/>
              </w:rPr>
              <w:t>USD</w:t>
            </w:r>
          </w:p>
        </w:tc>
        <w:tc>
          <w:tcPr>
            <w:tcW w:type="dxa" w:w="964"/>
          </w:tcPr>
          <w:p>
            <w:r/>
            <w:r>
              <w:rPr>
                <w:sz w:val="16"/>
              </w:rPr>
              <w:t>4,6%</w:t>
            </w:r>
          </w:p>
        </w:tc>
        <w:tc>
          <w:tcPr>
            <w:tcW w:type="dxa" w:w="1077"/>
          </w:tcPr>
          <w:p>
            <w:r/>
            <w:r>
              <w:rPr>
                <w:sz w:val="16"/>
              </w:rPr>
              <w:t>100,0%</w:t>
            </w:r>
          </w:p>
        </w:tc>
        <w:tc>
          <w:tcPr>
            <w:tcW w:type="dxa" w:w="1077"/>
          </w:tcPr>
          <w:p>
            <w:r/>
            <w:r>
              <w:rPr>
                <w:sz w:val="16"/>
              </w:rPr>
              <w:t>71,3%</w:t>
            </w:r>
          </w:p>
        </w:tc>
        <w:tc>
          <w:tcPr>
            <w:tcW w:type="dxa" w:w="1077"/>
          </w:tcPr>
          <w:p>
            <w:r/>
            <w:r>
              <w:rPr>
                <w:sz w:val="16"/>
              </w:rPr>
              <w:t>46,5%</w:t>
            </w:r>
          </w:p>
        </w:tc>
        <w:tc>
          <w:tcPr>
            <w:tcW w:type="dxa" w:w="1134"/>
          </w:tcPr>
          <w:p>
            <w:r/>
            <w:r>
              <w:rPr>
                <w:sz w:val="16"/>
              </w:rPr>
              <w:t>46,5%</w:t>
            </w:r>
          </w:p>
        </w:tc>
      </w:tr>
      <w:tr>
        <w:tc>
          <w:tcPr>
            <w:tcW w:type="dxa" w:w="1134"/>
            <w:shd w:val="clear" w:color="auto" w:fill="F2F5F9"/>
          </w:tcPr>
          <w:p>
            <w:r/>
            <w:r>
              <w:rPr>
                <w:sz w:val="16"/>
              </w:rPr>
              <w:t>Nexum</w:t>
            </w:r>
          </w:p>
        </w:tc>
        <w:tc>
          <w:tcPr>
            <w:tcW w:type="dxa" w:w="1814"/>
            <w:shd w:val="clear" w:color="auto" w:fill="F2F5F9"/>
          </w:tcPr>
          <w:p>
            <w:r/>
            <w:r>
              <w:rPr>
                <w:sz w:val="16"/>
              </w:rPr>
              <w:t>Prospectivo</w:t>
            </w:r>
          </w:p>
        </w:tc>
        <w:tc>
          <w:tcPr>
            <w:tcW w:type="dxa" w:w="794"/>
            <w:shd w:val="clear" w:color="auto" w:fill="F2F5F9"/>
          </w:tcPr>
          <w:p>
            <w:r/>
            <w:r>
              <w:rPr>
                <w:sz w:val="16"/>
              </w:rPr>
              <w:t>UF</w:t>
            </w:r>
          </w:p>
        </w:tc>
        <w:tc>
          <w:tcPr>
            <w:tcW w:type="dxa" w:w="964"/>
            <w:shd w:val="clear" w:color="auto" w:fill="F2F5F9"/>
          </w:tcPr>
          <w:p>
            <w:r/>
            <w:r>
              <w:rPr>
                <w:sz w:val="16"/>
              </w:rPr>
              <w:t>4,6%</w:t>
            </w:r>
          </w:p>
        </w:tc>
        <w:tc>
          <w:tcPr>
            <w:tcW w:type="dxa" w:w="1077"/>
            <w:shd w:val="clear" w:color="auto" w:fill="F2F5F9"/>
          </w:tcPr>
          <w:p>
            <w:r/>
            <w:r>
              <w:rPr>
                <w:sz w:val="16"/>
              </w:rPr>
              <w:t>99,9%</w:t>
            </w:r>
          </w:p>
        </w:tc>
        <w:tc>
          <w:tcPr>
            <w:tcW w:type="dxa" w:w="1077"/>
            <w:shd w:val="clear" w:color="auto" w:fill="F2F5F9"/>
          </w:tcPr>
          <w:p>
            <w:r/>
            <w:r>
              <w:rPr>
                <w:sz w:val="16"/>
              </w:rPr>
              <w:t>64,5%</w:t>
            </w:r>
          </w:p>
        </w:tc>
        <w:tc>
          <w:tcPr>
            <w:tcW w:type="dxa" w:w="1077"/>
            <w:shd w:val="clear" w:color="auto" w:fill="F2F5F9"/>
          </w:tcPr>
          <w:p>
            <w:r/>
            <w:r>
              <w:rPr>
                <w:sz w:val="16"/>
              </w:rPr>
              <w:t>45,3%</w:t>
            </w:r>
          </w:p>
        </w:tc>
        <w:tc>
          <w:tcPr>
            <w:tcW w:type="dxa" w:w="1134"/>
            <w:shd w:val="clear" w:color="auto" w:fill="F2F5F9"/>
          </w:tcPr>
          <w:p>
            <w:r/>
            <w:r>
              <w:rPr>
                <w:sz w:val="16"/>
              </w:rPr>
              <w:t>45,3%</w:t>
            </w:r>
          </w:p>
        </w:tc>
      </w:tr>
      <w:tr>
        <w:tc>
          <w:tcPr>
            <w:tcW w:type="dxa" w:w="1134"/>
          </w:tcPr>
          <w:p>
            <w:r/>
            <w:r>
              <w:rPr>
                <w:sz w:val="16"/>
              </w:rPr>
              <w:t>AGF 85/15</w:t>
            </w:r>
          </w:p>
        </w:tc>
        <w:tc>
          <w:tcPr>
            <w:tcW w:type="dxa" w:w="1814"/>
          </w:tcPr>
          <w:p>
            <w:r/>
            <w:r>
              <w:rPr>
                <w:sz w:val="16"/>
              </w:rPr>
              <w:t>Histórico 2013-2026</w:t>
            </w:r>
          </w:p>
        </w:tc>
        <w:tc>
          <w:tcPr>
            <w:tcW w:type="dxa" w:w="794"/>
          </w:tcPr>
          <w:p>
            <w:r/>
            <w:r>
              <w:rPr>
                <w:sz w:val="16"/>
              </w:rPr>
              <w:t>USD</w:t>
            </w:r>
          </w:p>
        </w:tc>
        <w:tc>
          <w:tcPr>
            <w:tcW w:type="dxa" w:w="964"/>
          </w:tcPr>
          <w:p>
            <w:r/>
            <w:r>
              <w:rPr>
                <w:sz w:val="16"/>
              </w:rPr>
              <w:t>10,0%</w:t>
            </w:r>
          </w:p>
        </w:tc>
        <w:tc>
          <w:tcPr>
            <w:tcW w:type="dxa" w:w="1077"/>
          </w:tcPr>
          <w:p>
            <w:r/>
            <w:r>
              <w:rPr>
                <w:sz w:val="16"/>
              </w:rPr>
              <w:t>100,0%</w:t>
            </w:r>
          </w:p>
        </w:tc>
        <w:tc>
          <w:tcPr>
            <w:tcW w:type="dxa" w:w="1077"/>
          </w:tcPr>
          <w:p>
            <w:r/>
            <w:r>
              <w:rPr>
                <w:sz w:val="16"/>
              </w:rPr>
              <w:t>99,3%</w:t>
            </w:r>
          </w:p>
        </w:tc>
        <w:tc>
          <w:tcPr>
            <w:tcW w:type="dxa" w:w="1077"/>
          </w:tcPr>
          <w:p>
            <w:r/>
            <w:r>
              <w:rPr>
                <w:sz w:val="16"/>
              </w:rPr>
              <w:t>98,8%</w:t>
            </w:r>
          </w:p>
        </w:tc>
        <w:tc>
          <w:tcPr>
            <w:tcW w:type="dxa" w:w="1134"/>
          </w:tcPr>
          <w:p>
            <w:r/>
            <w:r>
              <w:rPr>
                <w:sz w:val="16"/>
              </w:rPr>
              <w:t>98,8%</w:t>
            </w:r>
          </w:p>
        </w:tc>
      </w:tr>
      <w:tr>
        <w:tc>
          <w:tcPr>
            <w:tcW w:type="dxa" w:w="1134"/>
            <w:shd w:val="clear" w:color="auto" w:fill="F2F5F9"/>
          </w:tcPr>
          <w:p>
            <w:r/>
            <w:r>
              <w:rPr>
                <w:sz w:val="16"/>
              </w:rPr>
              <w:t>AGF 85/15</w:t>
            </w:r>
          </w:p>
        </w:tc>
        <w:tc>
          <w:tcPr>
            <w:tcW w:type="dxa" w:w="1814"/>
            <w:shd w:val="clear" w:color="auto" w:fill="F2F5F9"/>
          </w:tcPr>
          <w:p>
            <w:r/>
            <w:r>
              <w:rPr>
                <w:sz w:val="16"/>
              </w:rPr>
              <w:t>Histórico 2013-2026</w:t>
            </w:r>
          </w:p>
        </w:tc>
        <w:tc>
          <w:tcPr>
            <w:tcW w:type="dxa" w:w="794"/>
            <w:shd w:val="clear" w:color="auto" w:fill="F2F5F9"/>
          </w:tcPr>
          <w:p>
            <w:r/>
            <w:r>
              <w:rPr>
                <w:sz w:val="16"/>
              </w:rPr>
              <w:t>UF</w:t>
            </w:r>
          </w:p>
        </w:tc>
        <w:tc>
          <w:tcPr>
            <w:tcW w:type="dxa" w:w="964"/>
            <w:shd w:val="clear" w:color="auto" w:fill="F2F5F9"/>
          </w:tcPr>
          <w:p>
            <w:r/>
            <w:r>
              <w:rPr>
                <w:sz w:val="16"/>
              </w:rPr>
              <w:t>10,0%</w:t>
            </w:r>
          </w:p>
        </w:tc>
        <w:tc>
          <w:tcPr>
            <w:tcW w:type="dxa" w:w="1077"/>
            <w:shd w:val="clear" w:color="auto" w:fill="F2F5F9"/>
          </w:tcPr>
          <w:p>
            <w:r/>
            <w:r>
              <w:rPr>
                <w:sz w:val="16"/>
              </w:rPr>
              <w:t>100,0%</w:t>
            </w:r>
          </w:p>
        </w:tc>
        <w:tc>
          <w:tcPr>
            <w:tcW w:type="dxa" w:w="1077"/>
            <w:shd w:val="clear" w:color="auto" w:fill="F2F5F9"/>
          </w:tcPr>
          <w:p>
            <w:r/>
            <w:r>
              <w:rPr>
                <w:sz w:val="16"/>
              </w:rPr>
              <w:t>97,0%</w:t>
            </w:r>
          </w:p>
        </w:tc>
        <w:tc>
          <w:tcPr>
            <w:tcW w:type="dxa" w:w="1077"/>
            <w:shd w:val="clear" w:color="auto" w:fill="F2F5F9"/>
          </w:tcPr>
          <w:p>
            <w:r/>
            <w:r>
              <w:rPr>
                <w:sz w:val="16"/>
              </w:rPr>
              <w:t>96,4%</w:t>
            </w:r>
          </w:p>
        </w:tc>
        <w:tc>
          <w:tcPr>
            <w:tcW w:type="dxa" w:w="1134"/>
            <w:shd w:val="clear" w:color="auto" w:fill="F2F5F9"/>
          </w:tcPr>
          <w:p>
            <w:r/>
            <w:r>
              <w:rPr>
                <w:sz w:val="16"/>
              </w:rPr>
              <w:t>96,4%</w:t>
            </w:r>
          </w:p>
        </w:tc>
      </w:tr>
      <w:tr>
        <w:tc>
          <w:tcPr>
            <w:tcW w:type="dxa" w:w="1134"/>
          </w:tcPr>
          <w:p>
            <w:r/>
            <w:r>
              <w:rPr>
                <w:sz w:val="16"/>
              </w:rPr>
              <w:t>AGF 85/15</w:t>
            </w:r>
          </w:p>
        </w:tc>
        <w:tc>
          <w:tcPr>
            <w:tcW w:type="dxa" w:w="1814"/>
          </w:tcPr>
          <w:p>
            <w:r/>
            <w:r>
              <w:rPr>
                <w:sz w:val="16"/>
              </w:rPr>
              <w:t>Prospectivo</w:t>
            </w:r>
          </w:p>
        </w:tc>
        <w:tc>
          <w:tcPr>
            <w:tcW w:type="dxa" w:w="794"/>
          </w:tcPr>
          <w:p>
            <w:r/>
            <w:r>
              <w:rPr>
                <w:sz w:val="16"/>
              </w:rPr>
              <w:t>USD</w:t>
            </w:r>
          </w:p>
        </w:tc>
        <w:tc>
          <w:tcPr>
            <w:tcW w:type="dxa" w:w="964"/>
          </w:tcPr>
          <w:p>
            <w:r/>
            <w:r>
              <w:rPr>
                <w:sz w:val="16"/>
              </w:rPr>
              <w:t>4,4%</w:t>
            </w:r>
          </w:p>
        </w:tc>
        <w:tc>
          <w:tcPr>
            <w:tcW w:type="dxa" w:w="1077"/>
          </w:tcPr>
          <w:p>
            <w:r/>
            <w:r>
              <w:rPr>
                <w:sz w:val="16"/>
              </w:rPr>
              <w:t>100,0%</w:t>
            </w:r>
          </w:p>
        </w:tc>
        <w:tc>
          <w:tcPr>
            <w:tcW w:type="dxa" w:w="1077"/>
          </w:tcPr>
          <w:p>
            <w:r/>
            <w:r>
              <w:rPr>
                <w:sz w:val="16"/>
              </w:rPr>
              <w:t>63,6%</w:t>
            </w:r>
          </w:p>
        </w:tc>
        <w:tc>
          <w:tcPr>
            <w:tcW w:type="dxa" w:w="1077"/>
          </w:tcPr>
          <w:p>
            <w:r/>
            <w:r>
              <w:rPr>
                <w:sz w:val="16"/>
              </w:rPr>
              <w:t>42,4%</w:t>
            </w:r>
          </w:p>
        </w:tc>
        <w:tc>
          <w:tcPr>
            <w:tcW w:type="dxa" w:w="1134"/>
          </w:tcPr>
          <w:p>
            <w:r/>
            <w:r>
              <w:rPr>
                <w:sz w:val="16"/>
              </w:rPr>
              <w:t>42,4%</w:t>
            </w:r>
          </w:p>
        </w:tc>
      </w:tr>
      <w:tr>
        <w:tc>
          <w:tcPr>
            <w:tcW w:type="dxa" w:w="1134"/>
            <w:shd w:val="clear" w:color="auto" w:fill="F2F5F9"/>
          </w:tcPr>
          <w:p>
            <w:r/>
            <w:r>
              <w:rPr>
                <w:sz w:val="16"/>
              </w:rPr>
              <w:t>AGF 85/15</w:t>
            </w:r>
          </w:p>
        </w:tc>
        <w:tc>
          <w:tcPr>
            <w:tcW w:type="dxa" w:w="1814"/>
            <w:shd w:val="clear" w:color="auto" w:fill="F2F5F9"/>
          </w:tcPr>
          <w:p>
            <w:r/>
            <w:r>
              <w:rPr>
                <w:sz w:val="16"/>
              </w:rPr>
              <w:t>Prospectivo</w:t>
            </w:r>
          </w:p>
        </w:tc>
        <w:tc>
          <w:tcPr>
            <w:tcW w:type="dxa" w:w="794"/>
            <w:shd w:val="clear" w:color="auto" w:fill="F2F5F9"/>
          </w:tcPr>
          <w:p>
            <w:r/>
            <w:r>
              <w:rPr>
                <w:sz w:val="16"/>
              </w:rPr>
              <w:t>UF</w:t>
            </w:r>
          </w:p>
        </w:tc>
        <w:tc>
          <w:tcPr>
            <w:tcW w:type="dxa" w:w="964"/>
            <w:shd w:val="clear" w:color="auto" w:fill="F2F5F9"/>
          </w:tcPr>
          <w:p>
            <w:r/>
            <w:r>
              <w:rPr>
                <w:sz w:val="16"/>
              </w:rPr>
              <w:t>4,4%</w:t>
            </w:r>
          </w:p>
        </w:tc>
        <w:tc>
          <w:tcPr>
            <w:tcW w:type="dxa" w:w="1077"/>
            <w:shd w:val="clear" w:color="auto" w:fill="F2F5F9"/>
          </w:tcPr>
          <w:p>
            <w:r/>
            <w:r>
              <w:rPr>
                <w:sz w:val="16"/>
              </w:rPr>
              <w:t>99,6%</w:t>
            </w:r>
          </w:p>
        </w:tc>
        <w:tc>
          <w:tcPr>
            <w:tcW w:type="dxa" w:w="1077"/>
            <w:shd w:val="clear" w:color="auto" w:fill="F2F5F9"/>
          </w:tcPr>
          <w:p>
            <w:r/>
            <w:r>
              <w:rPr>
                <w:sz w:val="16"/>
              </w:rPr>
              <w:t>57,2%</w:t>
            </w:r>
          </w:p>
        </w:tc>
        <w:tc>
          <w:tcPr>
            <w:tcW w:type="dxa" w:w="1077"/>
            <w:shd w:val="clear" w:color="auto" w:fill="F2F5F9"/>
          </w:tcPr>
          <w:p>
            <w:r/>
            <w:r>
              <w:rPr>
                <w:sz w:val="16"/>
              </w:rPr>
              <w:t>38,4%</w:t>
            </w:r>
          </w:p>
        </w:tc>
        <w:tc>
          <w:tcPr>
            <w:tcW w:type="dxa" w:w="1134"/>
            <w:shd w:val="clear" w:color="auto" w:fill="F2F5F9"/>
          </w:tcPr>
          <w:p>
            <w:r/>
            <w:r>
              <w:rPr>
                <w:sz w:val="16"/>
              </w:rPr>
              <w:t>38,4%</w:t>
            </w:r>
          </w:p>
        </w:tc>
      </w:tr>
    </w:tbl>
    <w:p>
      <w:r>
        <w:rPr>
          <w:i/>
          <w:sz w:val="16"/>
        </w:rPr>
        <w:t>Escenario prospectivo: misma volatilidad y correlaciones históricas, con medias ajustadas a supuestos de mercado (retornos reales: S&amp;P 500 5,0%, Low-Vol 4,5%, Momentum 5,5%, TLH 2,6%, VCLT 3,2%, commodities 2,0%). UF: tipo de cambio real sin tendencia, con la volatilidad y la correlación observadas.</w:t>
      </w:r>
    </w:p>
    <w:p>
      <w:r>
        <w:rPr>
          <w:i w:val="0"/>
        </w:rPr>
        <w:t>Interpretación: Educación se cumple en prácticamente todos los escenarios, por lo que el piso de diseño (90-95%) se satisface con holgura. La incertidumbre se concentra en Villarrica y la herencia, que el IPS define como flexibles. Con retornos históricos el plan es holgado; con supuestos prudentes la probabilidad conjunta es menor a 50%, coherente con un retorno esperado que apenas iguala al requerido. Esta es la conclusión que se presenta a los clientes, junto con las palancas de ajuste:</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3628"/>
            <w:shd w:val="clear" w:color="auto" w:fill="1F3A5F"/>
          </w:tcPr>
          <w:p>
            <w:r/>
            <w:r>
              <w:rPr>
                <w:b/>
                <w:color w:val="FFFFFF"/>
                <w:sz w:val="17"/>
              </w:rPr>
              <w:t>Palanca (escenario prospectivo, USD)</w:t>
            </w:r>
          </w:p>
        </w:tc>
        <w:tc>
          <w:tcPr>
            <w:tcW w:type="dxa" w:w="1361"/>
            <w:shd w:val="clear" w:color="auto" w:fill="1F3A5F"/>
          </w:tcPr>
          <w:p>
            <w:r/>
            <w:r>
              <w:rPr>
                <w:b/>
                <w:color w:val="FFFFFF"/>
                <w:sz w:val="17"/>
              </w:rPr>
              <w:t>P(Educación)</w:t>
            </w:r>
          </w:p>
        </w:tc>
        <w:tc>
          <w:tcPr>
            <w:tcW w:type="dxa" w:w="1361"/>
            <w:shd w:val="clear" w:color="auto" w:fill="1F3A5F"/>
          </w:tcPr>
          <w:p>
            <w:r/>
            <w:r>
              <w:rPr>
                <w:b/>
                <w:color w:val="FFFFFF"/>
                <w:sz w:val="17"/>
              </w:rPr>
              <w:t>P(Villarrica)</w:t>
            </w:r>
          </w:p>
        </w:tc>
        <w:tc>
          <w:tcPr>
            <w:tcW w:type="dxa" w:w="1361"/>
            <w:shd w:val="clear" w:color="auto" w:fill="1F3A5F"/>
          </w:tcPr>
          <w:p>
            <w:r/>
            <w:r>
              <w:rPr>
                <w:b/>
                <w:color w:val="FFFFFF"/>
                <w:sz w:val="17"/>
              </w:rPr>
              <w:t>P(Herencia)</w:t>
            </w:r>
          </w:p>
        </w:tc>
        <w:tc>
          <w:tcPr>
            <w:tcW w:type="dxa" w:w="1361"/>
            <w:shd w:val="clear" w:color="auto" w:fill="1F3A5F"/>
          </w:tcPr>
          <w:p>
            <w:r/>
            <w:r>
              <w:rPr>
                <w:b/>
                <w:color w:val="FFFFFF"/>
                <w:sz w:val="17"/>
              </w:rPr>
              <w:t>P(3 objetivos)</w:t>
            </w:r>
          </w:p>
        </w:tc>
      </w:tr>
      <w:tr>
        <w:tc>
          <w:tcPr>
            <w:tcW w:type="dxa" w:w="3628"/>
          </w:tcPr>
          <w:p>
            <w:r/>
            <w:r>
              <w:rPr>
                <w:sz w:val="17"/>
              </w:rPr>
              <w:t>Base</w:t>
            </w:r>
          </w:p>
        </w:tc>
        <w:tc>
          <w:tcPr>
            <w:tcW w:type="dxa" w:w="1361"/>
          </w:tcPr>
          <w:p>
            <w:r/>
            <w:r>
              <w:rPr>
                <w:sz w:val="17"/>
              </w:rPr>
              <w:t>100,0%</w:t>
            </w:r>
          </w:p>
        </w:tc>
        <w:tc>
          <w:tcPr>
            <w:tcW w:type="dxa" w:w="1361"/>
          </w:tcPr>
          <w:p>
            <w:r/>
            <w:r>
              <w:rPr>
                <w:sz w:val="17"/>
              </w:rPr>
              <w:t>71,3%</w:t>
            </w:r>
          </w:p>
        </w:tc>
        <w:tc>
          <w:tcPr>
            <w:tcW w:type="dxa" w:w="1361"/>
          </w:tcPr>
          <w:p>
            <w:r/>
            <w:r>
              <w:rPr>
                <w:sz w:val="17"/>
              </w:rPr>
              <w:t>46,5%</w:t>
            </w:r>
          </w:p>
        </w:tc>
        <w:tc>
          <w:tcPr>
            <w:tcW w:type="dxa" w:w="1361"/>
          </w:tcPr>
          <w:p>
            <w:r/>
            <w:r>
              <w:rPr>
                <w:sz w:val="17"/>
              </w:rPr>
              <w:t>46,5%</w:t>
            </w:r>
          </w:p>
        </w:tc>
      </w:tr>
      <w:tr>
        <w:tc>
          <w:tcPr>
            <w:tcW w:type="dxa" w:w="3628"/>
            <w:shd w:val="clear" w:color="auto" w:fill="F2F5F9"/>
          </w:tcPr>
          <w:p>
            <w:r/>
            <w:r>
              <w:rPr>
                <w:sz w:val="17"/>
              </w:rPr>
              <w:t>Herencia USD 250 mil</w:t>
            </w:r>
          </w:p>
        </w:tc>
        <w:tc>
          <w:tcPr>
            <w:tcW w:type="dxa" w:w="1361"/>
            <w:shd w:val="clear" w:color="auto" w:fill="F2F5F9"/>
          </w:tcPr>
          <w:p>
            <w:r/>
            <w:r>
              <w:rPr>
                <w:sz w:val="17"/>
              </w:rPr>
              <w:t>100,0%</w:t>
            </w:r>
          </w:p>
        </w:tc>
        <w:tc>
          <w:tcPr>
            <w:tcW w:type="dxa" w:w="1361"/>
            <w:shd w:val="clear" w:color="auto" w:fill="F2F5F9"/>
          </w:tcPr>
          <w:p>
            <w:r/>
            <w:r>
              <w:rPr>
                <w:sz w:val="17"/>
              </w:rPr>
              <w:t>71,3%</w:t>
            </w:r>
          </w:p>
        </w:tc>
        <w:tc>
          <w:tcPr>
            <w:tcW w:type="dxa" w:w="1361"/>
            <w:shd w:val="clear" w:color="auto" w:fill="F2F5F9"/>
          </w:tcPr>
          <w:p>
            <w:r/>
            <w:r>
              <w:rPr>
                <w:sz w:val="17"/>
              </w:rPr>
              <w:t>57,6%</w:t>
            </w:r>
          </w:p>
        </w:tc>
        <w:tc>
          <w:tcPr>
            <w:tcW w:type="dxa" w:w="1361"/>
            <w:shd w:val="clear" w:color="auto" w:fill="F2F5F9"/>
          </w:tcPr>
          <w:p>
            <w:r/>
            <w:r>
              <w:rPr>
                <w:sz w:val="17"/>
              </w:rPr>
              <w:t>57,6%</w:t>
            </w:r>
          </w:p>
        </w:tc>
      </w:tr>
      <w:tr>
        <w:tc>
          <w:tcPr>
            <w:tcW w:type="dxa" w:w="3628"/>
          </w:tcPr>
          <w:p>
            <w:r/>
            <w:r>
              <w:rPr>
                <w:sz w:val="17"/>
              </w:rPr>
              <w:t>Villarrica -25%</w:t>
            </w:r>
          </w:p>
        </w:tc>
        <w:tc>
          <w:tcPr>
            <w:tcW w:type="dxa" w:w="1361"/>
          </w:tcPr>
          <w:p>
            <w:r/>
            <w:r>
              <w:rPr>
                <w:sz w:val="17"/>
              </w:rPr>
              <w:t>100,0%</w:t>
            </w:r>
          </w:p>
        </w:tc>
        <w:tc>
          <w:tcPr>
            <w:tcW w:type="dxa" w:w="1361"/>
          </w:tcPr>
          <w:p>
            <w:r/>
            <w:r>
              <w:rPr>
                <w:sz w:val="17"/>
              </w:rPr>
              <w:t>87,0%</w:t>
            </w:r>
          </w:p>
        </w:tc>
        <w:tc>
          <w:tcPr>
            <w:tcW w:type="dxa" w:w="1361"/>
          </w:tcPr>
          <w:p>
            <w:r/>
            <w:r>
              <w:rPr>
                <w:sz w:val="17"/>
              </w:rPr>
              <w:t>62,1%</w:t>
            </w:r>
          </w:p>
        </w:tc>
        <w:tc>
          <w:tcPr>
            <w:tcW w:type="dxa" w:w="1361"/>
          </w:tcPr>
          <w:p>
            <w:r/>
            <w:r>
              <w:rPr>
                <w:sz w:val="17"/>
              </w:rPr>
              <w:t>62,1%</w:t>
            </w:r>
          </w:p>
        </w:tc>
      </w:tr>
      <w:tr>
        <w:tc>
          <w:tcPr>
            <w:tcW w:type="dxa" w:w="3628"/>
            <w:shd w:val="clear" w:color="auto" w:fill="F2F5F9"/>
          </w:tcPr>
          <w:p>
            <w:r/>
            <w:r>
              <w:rPr>
                <w:sz w:val="17"/>
              </w:rPr>
              <w:t>Ambas</w:t>
            </w:r>
          </w:p>
        </w:tc>
        <w:tc>
          <w:tcPr>
            <w:tcW w:type="dxa" w:w="1361"/>
            <w:shd w:val="clear" w:color="auto" w:fill="F2F5F9"/>
          </w:tcPr>
          <w:p>
            <w:r/>
            <w:r>
              <w:rPr>
                <w:sz w:val="17"/>
              </w:rPr>
              <w:t>100,0%</w:t>
            </w:r>
          </w:p>
        </w:tc>
        <w:tc>
          <w:tcPr>
            <w:tcW w:type="dxa" w:w="1361"/>
            <w:shd w:val="clear" w:color="auto" w:fill="F2F5F9"/>
          </w:tcPr>
          <w:p>
            <w:r/>
            <w:r>
              <w:rPr>
                <w:sz w:val="17"/>
              </w:rPr>
              <w:t>87,0%</w:t>
            </w:r>
          </w:p>
        </w:tc>
        <w:tc>
          <w:tcPr>
            <w:tcW w:type="dxa" w:w="1361"/>
            <w:shd w:val="clear" w:color="auto" w:fill="F2F5F9"/>
          </w:tcPr>
          <w:p>
            <w:r/>
            <w:r>
              <w:rPr>
                <w:sz w:val="17"/>
              </w:rPr>
              <w:t>74,8%</w:t>
            </w:r>
          </w:p>
        </w:tc>
        <w:tc>
          <w:tcPr>
            <w:tcW w:type="dxa" w:w="1361"/>
            <w:shd w:val="clear" w:color="auto" w:fill="F2F5F9"/>
          </w:tcPr>
          <w:p>
            <w:r/>
            <w:r>
              <w:rPr>
                <w:sz w:val="17"/>
              </w:rPr>
              <w:t>74,8%</w:t>
            </w:r>
          </w:p>
        </w:tc>
      </w:tr>
    </w:tbl>
    <w:p/>
    <w:p>
      <w:pPr>
        <w:pStyle w:val="Heading2"/>
      </w:pPr>
      <w:r>
        <w:t>4.3 Validación del modelo</w:t>
      </w:r>
    </w:p>
    <w:p>
      <w:r>
        <w:rPr>
          <w:i w:val="0"/>
        </w:rPr>
        <w:t>Correcciones respecto de la versión anterior del modelo. La auditoría encontró tres problemas que afectaban los resultados; esta versión los corrige y mide su efecto:</w:t>
      </w:r>
    </w:p>
    <w:tbl>
      <w:tblPr>
        <w:tblStyle w:val="TableGrid"/>
        <w:tblW w:type="auto" w:w="0"/>
        <w:jc w:val="center"/>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3175"/>
            <w:shd w:val="clear" w:color="auto" w:fill="1F3A5F"/>
          </w:tcPr>
          <w:p>
            <w:r/>
            <w:r>
              <w:rPr>
                <w:b/>
                <w:color w:val="FFFFFF"/>
                <w:sz w:val="15"/>
              </w:rPr>
              <w:t>Versión</w:t>
            </w:r>
          </w:p>
        </w:tc>
        <w:tc>
          <w:tcPr>
            <w:tcW w:type="dxa" w:w="624"/>
            <w:shd w:val="clear" w:color="auto" w:fill="1F3A5F"/>
          </w:tcPr>
          <w:p>
            <w:r/>
            <w:r>
              <w:rPr>
                <w:b/>
                <w:color w:val="FFFFFF"/>
                <w:sz w:val="15"/>
              </w:rPr>
              <w:t>Meses</w:t>
            </w:r>
          </w:p>
        </w:tc>
        <w:tc>
          <w:tcPr>
            <w:tcW w:type="dxa" w:w="850"/>
            <w:shd w:val="clear" w:color="auto" w:fill="1F3A5F"/>
          </w:tcPr>
          <w:p>
            <w:r/>
            <w:r>
              <w:rPr>
                <w:b/>
                <w:color w:val="FFFFFF"/>
                <w:sz w:val="15"/>
              </w:rPr>
              <w:t>Momentum</w:t>
            </w:r>
          </w:p>
        </w:tc>
        <w:tc>
          <w:tcPr>
            <w:tcW w:type="dxa" w:w="794"/>
            <w:shd w:val="clear" w:color="auto" w:fill="1F3A5F"/>
          </w:tcPr>
          <w:p>
            <w:r/>
            <w:r>
              <w:rPr>
                <w:b/>
                <w:color w:val="FFFFFF"/>
                <w:sz w:val="15"/>
              </w:rPr>
              <w:t>Low-Vol</w:t>
            </w:r>
          </w:p>
        </w:tc>
        <w:tc>
          <w:tcPr>
            <w:tcW w:type="dxa" w:w="794"/>
            <w:shd w:val="clear" w:color="auto" w:fill="1F3A5F"/>
          </w:tcPr>
          <w:p>
            <w:r/>
            <w:r>
              <w:rPr>
                <w:b/>
                <w:color w:val="FFFFFF"/>
                <w:sz w:val="15"/>
              </w:rPr>
              <w:t>Commod.</w:t>
            </w:r>
          </w:p>
        </w:tc>
        <w:tc>
          <w:tcPr>
            <w:tcW w:type="dxa" w:w="907"/>
            <w:shd w:val="clear" w:color="auto" w:fill="1F3A5F"/>
          </w:tcPr>
          <w:p>
            <w:r/>
            <w:r>
              <w:rPr>
                <w:b/>
                <w:color w:val="FFFFFF"/>
                <w:sz w:val="15"/>
              </w:rPr>
              <w:t>Cartera CAGR</w:t>
            </w:r>
          </w:p>
        </w:tc>
        <w:tc>
          <w:tcPr>
            <w:tcW w:type="dxa" w:w="680"/>
            <w:shd w:val="clear" w:color="auto" w:fill="1F3A5F"/>
          </w:tcPr>
          <w:p>
            <w:r/>
            <w:r>
              <w:rPr>
                <w:b/>
                <w:color w:val="FFFFFF"/>
                <w:sz w:val="15"/>
              </w:rPr>
              <w:t>Sharpe</w:t>
            </w:r>
          </w:p>
        </w:tc>
        <w:tc>
          <w:tcPr>
            <w:tcW w:type="dxa" w:w="737"/>
            <w:shd w:val="clear" w:color="auto" w:fill="1F3A5F"/>
          </w:tcPr>
          <w:p>
            <w:r/>
            <w:r>
              <w:rPr>
                <w:b/>
                <w:color w:val="FFFFFF"/>
                <w:sz w:val="15"/>
              </w:rPr>
              <w:t>BL SPY</w:t>
            </w:r>
          </w:p>
        </w:tc>
        <w:tc>
          <w:tcPr>
            <w:tcW w:type="dxa" w:w="737"/>
            <w:shd w:val="clear" w:color="auto" w:fill="1F3A5F"/>
          </w:tcPr>
          <w:p>
            <w:r/>
            <w:r>
              <w:rPr>
                <w:b/>
                <w:color w:val="FFFFFF"/>
                <w:sz w:val="15"/>
              </w:rPr>
              <w:t>BL LV</w:t>
            </w:r>
          </w:p>
        </w:tc>
      </w:tr>
      <w:tr>
        <w:tc>
          <w:tcPr>
            <w:tcW w:type="dxa" w:w="3175"/>
          </w:tcPr>
          <w:p>
            <w:r/>
            <w:r>
              <w:rPr>
                <w:sz w:val="15"/>
              </w:rPr>
              <w:t>Modelo original (162 meses, vol. 1 mes)</w:t>
            </w:r>
          </w:p>
        </w:tc>
        <w:tc>
          <w:tcPr>
            <w:tcW w:type="dxa" w:w="624"/>
          </w:tcPr>
          <w:p>
            <w:r/>
            <w:r>
              <w:rPr>
                <w:sz w:val="15"/>
              </w:rPr>
              <w:t>162</w:t>
            </w:r>
          </w:p>
        </w:tc>
        <w:tc>
          <w:tcPr>
            <w:tcW w:type="dxa" w:w="850"/>
          </w:tcPr>
          <w:p>
            <w:r/>
            <w:r>
              <w:rPr>
                <w:sz w:val="15"/>
              </w:rPr>
              <w:t>16,5%</w:t>
            </w:r>
          </w:p>
        </w:tc>
        <w:tc>
          <w:tcPr>
            <w:tcW w:type="dxa" w:w="794"/>
          </w:tcPr>
          <w:p>
            <w:r/>
            <w:r>
              <w:rPr>
                <w:sz w:val="15"/>
              </w:rPr>
              <w:t>11,0%</w:t>
            </w:r>
          </w:p>
        </w:tc>
        <w:tc>
          <w:tcPr>
            <w:tcW w:type="dxa" w:w="794"/>
          </w:tcPr>
          <w:p>
            <w:r/>
            <w:r>
              <w:rPr>
                <w:sz w:val="15"/>
              </w:rPr>
              <w:t>8,5%</w:t>
            </w:r>
          </w:p>
        </w:tc>
        <w:tc>
          <w:tcPr>
            <w:tcW w:type="dxa" w:w="907"/>
          </w:tcPr>
          <w:p>
            <w:r/>
            <w:r>
              <w:rPr>
                <w:sz w:val="15"/>
              </w:rPr>
              <w:t>10,2%</w:t>
            </w:r>
          </w:p>
        </w:tc>
        <w:tc>
          <w:tcPr>
            <w:tcW w:type="dxa" w:w="680"/>
          </w:tcPr>
          <w:p>
            <w:r/>
            <w:r>
              <w:rPr>
                <w:sz w:val="15"/>
              </w:rPr>
              <w:t>0,88</w:t>
            </w:r>
          </w:p>
        </w:tc>
        <w:tc>
          <w:tcPr>
            <w:tcW w:type="dxa" w:w="737"/>
          </w:tcPr>
          <w:p>
            <w:r/>
            <w:r>
              <w:rPr>
                <w:sz w:val="15"/>
              </w:rPr>
              <w:t>37,9%</w:t>
            </w:r>
          </w:p>
        </w:tc>
        <w:tc>
          <w:tcPr>
            <w:tcW w:type="dxa" w:w="737"/>
          </w:tcPr>
          <w:p>
            <w:r/>
            <w:r>
              <w:rPr>
                <w:sz w:val="15"/>
              </w:rPr>
              <w:t>17,5%</w:t>
            </w:r>
          </w:p>
        </w:tc>
      </w:tr>
      <w:tr>
        <w:tc>
          <w:tcPr>
            <w:tcW w:type="dxa" w:w="3175"/>
            <w:shd w:val="clear" w:color="auto" w:fill="F2F5F9"/>
          </w:tcPr>
          <w:p>
            <w:r/>
            <w:r>
              <w:rPr>
                <w:sz w:val="15"/>
              </w:rPr>
              <w:t>+ incluye jul y dic 2018 (dato faltante corregido)</w:t>
            </w:r>
          </w:p>
        </w:tc>
        <w:tc>
          <w:tcPr>
            <w:tcW w:type="dxa" w:w="624"/>
            <w:shd w:val="clear" w:color="auto" w:fill="F2F5F9"/>
          </w:tcPr>
          <w:p>
            <w:r/>
            <w:r>
              <w:rPr>
                <w:sz w:val="15"/>
              </w:rPr>
              <w:t>164</w:t>
            </w:r>
          </w:p>
        </w:tc>
        <w:tc>
          <w:tcPr>
            <w:tcW w:type="dxa" w:w="850"/>
            <w:shd w:val="clear" w:color="auto" w:fill="F2F5F9"/>
          </w:tcPr>
          <w:p>
            <w:r/>
            <w:r>
              <w:rPr>
                <w:sz w:val="15"/>
              </w:rPr>
              <w:t>15,6%</w:t>
            </w:r>
          </w:p>
        </w:tc>
        <w:tc>
          <w:tcPr>
            <w:tcW w:type="dxa" w:w="794"/>
            <w:shd w:val="clear" w:color="auto" w:fill="F2F5F9"/>
          </w:tcPr>
          <w:p>
            <w:r/>
            <w:r>
              <w:rPr>
                <w:sz w:val="15"/>
              </w:rPr>
              <w:t>10,7%</w:t>
            </w:r>
          </w:p>
        </w:tc>
        <w:tc>
          <w:tcPr>
            <w:tcW w:type="dxa" w:w="794"/>
            <w:shd w:val="clear" w:color="auto" w:fill="F2F5F9"/>
          </w:tcPr>
          <w:p>
            <w:r/>
            <w:r>
              <w:rPr>
                <w:sz w:val="15"/>
              </w:rPr>
              <w:t>7,9%</w:t>
            </w:r>
          </w:p>
        </w:tc>
        <w:tc>
          <w:tcPr>
            <w:tcW w:type="dxa" w:w="907"/>
            <w:shd w:val="clear" w:color="auto" w:fill="F2F5F9"/>
          </w:tcPr>
          <w:p>
            <w:r/>
            <w:r>
              <w:rPr>
                <w:sz w:val="15"/>
              </w:rPr>
              <w:t>9,9%</w:t>
            </w:r>
          </w:p>
        </w:tc>
        <w:tc>
          <w:tcPr>
            <w:tcW w:type="dxa" w:w="680"/>
            <w:shd w:val="clear" w:color="auto" w:fill="F2F5F9"/>
          </w:tcPr>
          <w:p>
            <w:r/>
            <w:r>
              <w:rPr>
                <w:sz w:val="15"/>
              </w:rPr>
              <w:t>0,85</w:t>
            </w:r>
          </w:p>
        </w:tc>
        <w:tc>
          <w:tcPr>
            <w:tcW w:type="dxa" w:w="737"/>
            <w:shd w:val="clear" w:color="auto" w:fill="F2F5F9"/>
          </w:tcPr>
          <w:p>
            <w:r/>
            <w:r>
              <w:rPr>
                <w:sz w:val="15"/>
              </w:rPr>
              <w:t>37,3%</w:t>
            </w:r>
          </w:p>
        </w:tc>
        <w:tc>
          <w:tcPr>
            <w:tcW w:type="dxa" w:w="737"/>
            <w:shd w:val="clear" w:color="auto" w:fill="F2F5F9"/>
          </w:tcPr>
          <w:p>
            <w:r/>
            <w:r>
              <w:rPr>
                <w:sz w:val="15"/>
              </w:rPr>
              <w:t>17,3%</w:t>
            </w:r>
          </w:p>
        </w:tc>
      </w:tr>
      <w:tr>
        <w:tc>
          <w:tcPr>
            <w:tcW w:type="dxa" w:w="3175"/>
          </w:tcPr>
          <w:p>
            <w:r/>
            <w:r>
              <w:rPr>
                <w:sz w:val="15"/>
              </w:rPr>
              <w:t>+ filtro de Sharpe con vol. 12 meses (versión vigent</w:t>
            </w:r>
          </w:p>
        </w:tc>
        <w:tc>
          <w:tcPr>
            <w:tcW w:type="dxa" w:w="624"/>
          </w:tcPr>
          <w:p>
            <w:r/>
            <w:r>
              <w:rPr>
                <w:sz w:val="15"/>
              </w:rPr>
              <w:t>164</w:t>
            </w:r>
          </w:p>
        </w:tc>
        <w:tc>
          <w:tcPr>
            <w:tcW w:type="dxa" w:w="850"/>
          </w:tcPr>
          <w:p>
            <w:r/>
            <w:r>
              <w:rPr>
                <w:sz w:val="15"/>
              </w:rPr>
              <w:t>16,2%</w:t>
            </w:r>
          </w:p>
        </w:tc>
        <w:tc>
          <w:tcPr>
            <w:tcW w:type="dxa" w:w="794"/>
          </w:tcPr>
          <w:p>
            <w:r/>
            <w:r>
              <w:rPr>
                <w:sz w:val="15"/>
              </w:rPr>
              <w:t>10,7%</w:t>
            </w:r>
          </w:p>
        </w:tc>
        <w:tc>
          <w:tcPr>
            <w:tcW w:type="dxa" w:w="794"/>
          </w:tcPr>
          <w:p>
            <w:r/>
            <w:r>
              <w:rPr>
                <w:sz w:val="15"/>
              </w:rPr>
              <w:t>7,9%</w:t>
            </w:r>
          </w:p>
        </w:tc>
        <w:tc>
          <w:tcPr>
            <w:tcW w:type="dxa" w:w="907"/>
          </w:tcPr>
          <w:p>
            <w:r/>
            <w:r>
              <w:rPr>
                <w:sz w:val="15"/>
              </w:rPr>
              <w:t>10,0%</w:t>
            </w:r>
          </w:p>
        </w:tc>
        <w:tc>
          <w:tcPr>
            <w:tcW w:type="dxa" w:w="680"/>
          </w:tcPr>
          <w:p>
            <w:r/>
            <w:r>
              <w:rPr>
                <w:sz w:val="15"/>
              </w:rPr>
              <w:t>0,85</w:t>
            </w:r>
          </w:p>
        </w:tc>
        <w:tc>
          <w:tcPr>
            <w:tcW w:type="dxa" w:w="737"/>
          </w:tcPr>
          <w:p>
            <w:r/>
            <w:r>
              <w:rPr>
                <w:sz w:val="15"/>
              </w:rPr>
              <w:t>37,3%</w:t>
            </w:r>
          </w:p>
        </w:tc>
        <w:tc>
          <w:tcPr>
            <w:tcW w:type="dxa" w:w="737"/>
          </w:tcPr>
          <w:p>
            <w:r/>
            <w:r>
              <w:rPr>
                <w:sz w:val="15"/>
              </w:rPr>
              <w:t>17,2%</w:t>
            </w:r>
          </w:p>
        </w:tc>
      </w:tr>
      <w:tr>
        <w:tc>
          <w:tcPr>
            <w:tcW w:type="dxa" w:w="3175"/>
            <w:shd w:val="clear" w:color="auto" w:fill="F2F5F9"/>
          </w:tcPr>
          <w:p>
            <w:r/>
            <w:r>
              <w:rPr>
                <w:sz w:val="15"/>
              </w:rPr>
              <w:t>Sensibilidad: costos en ambos lados</w:t>
            </w:r>
          </w:p>
        </w:tc>
        <w:tc>
          <w:tcPr>
            <w:tcW w:type="dxa" w:w="624"/>
            <w:shd w:val="clear" w:color="auto" w:fill="F2F5F9"/>
          </w:tcPr>
          <w:p>
            <w:r/>
            <w:r>
              <w:rPr>
                <w:sz w:val="15"/>
              </w:rPr>
              <w:t>164</w:t>
            </w:r>
          </w:p>
        </w:tc>
        <w:tc>
          <w:tcPr>
            <w:tcW w:type="dxa" w:w="850"/>
            <w:shd w:val="clear" w:color="auto" w:fill="F2F5F9"/>
          </w:tcPr>
          <w:p>
            <w:r/>
            <w:r>
              <w:rPr>
                <w:sz w:val="15"/>
              </w:rPr>
              <w:t>15,6%</w:t>
            </w:r>
          </w:p>
        </w:tc>
        <w:tc>
          <w:tcPr>
            <w:tcW w:type="dxa" w:w="794"/>
            <w:shd w:val="clear" w:color="auto" w:fill="F2F5F9"/>
          </w:tcPr>
          <w:p>
            <w:r/>
            <w:r>
              <w:rPr>
                <w:sz w:val="15"/>
              </w:rPr>
              <w:t>10,5%</w:t>
            </w:r>
          </w:p>
        </w:tc>
        <w:tc>
          <w:tcPr>
            <w:tcW w:type="dxa" w:w="794"/>
            <w:shd w:val="clear" w:color="auto" w:fill="F2F5F9"/>
          </w:tcPr>
          <w:p>
            <w:r/>
            <w:r>
              <w:rPr>
                <w:sz w:val="15"/>
              </w:rPr>
              <w:t>7,7%</w:t>
            </w:r>
          </w:p>
        </w:tc>
        <w:tc>
          <w:tcPr>
            <w:tcW w:type="dxa" w:w="907"/>
            <w:shd w:val="clear" w:color="auto" w:fill="F2F5F9"/>
          </w:tcPr>
          <w:p>
            <w:r/>
            <w:r>
              <w:rPr>
                <w:sz w:val="15"/>
              </w:rPr>
              <w:t>9,9%</w:t>
            </w:r>
          </w:p>
        </w:tc>
        <w:tc>
          <w:tcPr>
            <w:tcW w:type="dxa" w:w="680"/>
            <w:shd w:val="clear" w:color="auto" w:fill="F2F5F9"/>
          </w:tcPr>
          <w:p>
            <w:r/>
            <w:r>
              <w:rPr>
                <w:sz w:val="15"/>
              </w:rPr>
              <w:t>0,84</w:t>
            </w:r>
          </w:p>
        </w:tc>
        <w:tc>
          <w:tcPr>
            <w:tcW w:type="dxa" w:w="737"/>
            <w:shd w:val="clear" w:color="auto" w:fill="F2F5F9"/>
          </w:tcPr>
          <w:p>
            <w:r/>
            <w:r>
              <w:rPr>
                <w:sz w:val="15"/>
              </w:rPr>
              <w:t>37,3%</w:t>
            </w:r>
          </w:p>
        </w:tc>
        <w:tc>
          <w:tcPr>
            <w:tcW w:type="dxa" w:w="737"/>
            <w:shd w:val="clear" w:color="auto" w:fill="F2F5F9"/>
          </w:tcPr>
          <w:p>
            <w:r/>
            <w:r>
              <w:rPr>
                <w:sz w:val="15"/>
              </w:rPr>
              <w:t>17,2%</w:t>
            </w:r>
          </w:p>
        </w:tc>
      </w:tr>
    </w:tbl>
    <w:p>
      <w:r>
        <w:rPr>
          <w:i/>
          <w:sz w:val="16"/>
        </w:rPr>
        <w:t>(1) Low-Vol devolvía datos vacíos en jul-2018 y dic-2018 y el modelo eliminaba esos meses de las 6 series, incluido el peor mes del período para las acciones. (2) El filtro de Sharpe de Momentum usaba la volatilidad de un mes en el backtest y de 12 meses en la operación. (3) Sensibilidad: contar el costo en compras y ventas. Ninguna corrección mueve los pesos más de 0,7 puntos.</w:t>
      </w:r>
    </w:p>
    <w:p>
      <w:pPr>
        <w:jc w:val="center"/>
      </w:pPr>
      <w:r>
        <w:drawing>
          <wp:inline xmlns:a="http://schemas.openxmlformats.org/drawingml/2006/main" xmlns:pic="http://schemas.openxmlformats.org/drawingml/2006/picture">
            <wp:extent cx="5760000" cy="2400000"/>
            <wp:docPr id="6" name="Picture 6"/>
            <wp:cNvGraphicFramePr>
              <a:graphicFrameLocks noChangeAspect="1"/>
            </wp:cNvGraphicFramePr>
            <a:graphic>
              <a:graphicData uri="http://schemas.openxmlformats.org/drawingml/2006/picture">
                <pic:pic>
                  <pic:nvPicPr>
                    <pic:cNvPr id="0" name="f6_robustez.png"/>
                    <pic:cNvPicPr/>
                  </pic:nvPicPr>
                  <pic:blipFill>
                    <a:blip r:embed="rId14"/>
                    <a:stretch>
                      <a:fillRect/>
                    </a:stretch>
                  </pic:blipFill>
                  <pic:spPr>
                    <a:xfrm>
                      <a:off x="0" y="0"/>
                      <a:ext cx="5760000" cy="2400000"/>
                    </a:xfrm>
                    <a:prstGeom prst="rect"/>
                  </pic:spPr>
                </pic:pic>
              </a:graphicData>
            </a:graphic>
          </wp:inline>
        </w:drawing>
      </w:r>
    </w:p>
    <w:p>
      <w:pPr>
        <w:jc w:val="center"/>
      </w:pPr>
      <w:r>
        <w:rPr>
          <w:i/>
          <w:sz w:val="16"/>
        </w:rPr>
        <w:t>Figura 6. Robustez: Sharpe 2013-2026 de cada variante de parámetros (un cambio a la vez). Fuente: codigo/validacion.py.</w:t>
      </w:r>
    </w:p>
    <w:p>
      <w:r>
        <w:rPr>
          <w:i w:val="0"/>
        </w:rPr>
        <w:t>Robustez. Momentum y Low-Volatility son estables frente a sus parámetros (Sharpe entre 0,65 y 0,79) y la regla vigente no es la mejor variante, lo que es evidencia en contra de sobreajuste. Momentum en commodities sí depende de sus umbrales y de la ampliación del universo de 3 a 5 ETF, que se decidió observando el backtest: se declara como sesgo de selección y explica su menor peso.</w:t>
      </w:r>
    </w:p>
    <w:tbl>
      <w:tblPr>
        <w:tblStyle w:val="TableGrid"/>
        <w:tblW w:type="auto" w:w="0"/>
        <w:jc w:val="center"/>
        <w:tblLook w:firstColumn="1" w:firstRow="1" w:lastColumn="0" w:lastRow="0" w:noHBand="0" w:noVBand="1" w:val="04A0"/>
      </w:tblPr>
      <w:tblGrid>
        <w:gridCol w:w="3211"/>
        <w:gridCol w:w="3211"/>
        <w:gridCol w:w="3211"/>
      </w:tblGrid>
      <w:tr>
        <w:tc>
          <w:tcPr>
            <w:tcW w:type="dxa" w:w="4195"/>
            <w:shd w:val="clear" w:color="auto" w:fill="1F3A5F"/>
          </w:tcPr>
          <w:p>
            <w:r/>
            <w:r>
              <w:rPr>
                <w:b/>
                <w:color w:val="FFFFFF"/>
                <w:sz w:val="17"/>
              </w:rPr>
              <w:t>Cartera</w:t>
            </w:r>
          </w:p>
        </w:tc>
        <w:tc>
          <w:tcPr>
            <w:tcW w:type="dxa" w:w="2438"/>
            <w:shd w:val="clear" w:color="auto" w:fill="1F3A5F"/>
          </w:tcPr>
          <w:p>
            <w:r/>
            <w:r>
              <w:rPr>
                <w:b/>
                <w:color w:val="FFFFFF"/>
                <w:sz w:val="17"/>
              </w:rPr>
              <w:t>Sharpe 2013-2019 (dentro de muestra)</w:t>
            </w:r>
          </w:p>
        </w:tc>
        <w:tc>
          <w:tcPr>
            <w:tcW w:type="dxa" w:w="2438"/>
            <w:shd w:val="clear" w:color="auto" w:fill="1F3A5F"/>
          </w:tcPr>
          <w:p>
            <w:r/>
            <w:r>
              <w:rPr>
                <w:b/>
                <w:color w:val="FFFFFF"/>
                <w:sz w:val="17"/>
              </w:rPr>
              <w:t>Sharpe 2020-2026 (fuera de muestra)</w:t>
            </w:r>
          </w:p>
        </w:tc>
      </w:tr>
      <w:tr>
        <w:tc>
          <w:tcPr>
            <w:tcW w:type="dxa" w:w="4195"/>
          </w:tcPr>
          <w:p>
            <w:r/>
            <w:r>
              <w:rPr>
                <w:sz w:val="17"/>
              </w:rPr>
              <w:t>Markowitz optimizado con 2013-2019</w:t>
            </w:r>
          </w:p>
        </w:tc>
        <w:tc>
          <w:tcPr>
            <w:tcW w:type="dxa" w:w="2438"/>
          </w:tcPr>
          <w:p>
            <w:r/>
            <w:r>
              <w:rPr>
                <w:sz w:val="17"/>
              </w:rPr>
              <w:t>1,46</w:t>
            </w:r>
          </w:p>
        </w:tc>
        <w:tc>
          <w:tcPr>
            <w:tcW w:type="dxa" w:w="2438"/>
          </w:tcPr>
          <w:p>
            <w:r/>
            <w:r>
              <w:rPr>
                <w:sz w:val="17"/>
              </w:rPr>
              <w:t>0,45</w:t>
            </w:r>
          </w:p>
        </w:tc>
      </w:tr>
      <w:tr>
        <w:tc>
          <w:tcPr>
            <w:tcW w:type="dxa" w:w="4195"/>
            <w:shd w:val="clear" w:color="auto" w:fill="F2F5F9"/>
          </w:tcPr>
          <w:p>
            <w:r/>
            <w:r>
              <w:rPr>
                <w:sz w:val="17"/>
              </w:rPr>
              <w:t>Black-Litterman calibrado con 2013-2019</w:t>
            </w:r>
          </w:p>
        </w:tc>
        <w:tc>
          <w:tcPr>
            <w:tcW w:type="dxa" w:w="2438"/>
            <w:shd w:val="clear" w:color="auto" w:fill="F2F5F9"/>
          </w:tcPr>
          <w:p>
            <w:r/>
            <w:r>
              <w:rPr>
                <w:sz w:val="17"/>
              </w:rPr>
              <w:t>1,38</w:t>
            </w:r>
          </w:p>
        </w:tc>
        <w:tc>
          <w:tcPr>
            <w:tcW w:type="dxa" w:w="2438"/>
            <w:shd w:val="clear" w:color="auto" w:fill="F2F5F9"/>
          </w:tcPr>
          <w:p>
            <w:r/>
            <w:r>
              <w:rPr>
                <w:sz w:val="17"/>
              </w:rPr>
              <w:t>0,65</w:t>
            </w:r>
          </w:p>
        </w:tc>
      </w:tr>
      <w:tr>
        <w:tc>
          <w:tcPr>
            <w:tcW w:type="dxa" w:w="4195"/>
          </w:tcPr>
          <w:p>
            <w:r/>
            <w:r>
              <w:rPr>
                <w:sz w:val="17"/>
              </w:rPr>
              <w:t>Pesos aprobados (BL del modelo)</w:t>
            </w:r>
          </w:p>
        </w:tc>
        <w:tc>
          <w:tcPr>
            <w:tcW w:type="dxa" w:w="2438"/>
          </w:tcPr>
          <w:p>
            <w:r/>
            <w:r>
              <w:rPr>
                <w:sz w:val="17"/>
              </w:rPr>
              <w:t>1,40</w:t>
            </w:r>
          </w:p>
        </w:tc>
        <w:tc>
          <w:tcPr>
            <w:tcW w:type="dxa" w:w="2438"/>
          </w:tcPr>
          <w:p>
            <w:r/>
            <w:r>
              <w:rPr>
                <w:sz w:val="17"/>
              </w:rPr>
              <w:t>0,56</w:t>
            </w:r>
          </w:p>
        </w:tc>
      </w:tr>
      <w:tr>
        <w:tc>
          <w:tcPr>
            <w:tcW w:type="dxa" w:w="4195"/>
            <w:shd w:val="clear" w:color="auto" w:fill="F2F5F9"/>
          </w:tcPr>
          <w:p>
            <w:r/>
            <w:r>
              <w:rPr>
                <w:sz w:val="17"/>
              </w:rPr>
              <w:t>Pesos iguales (1/6)</w:t>
            </w:r>
          </w:p>
        </w:tc>
        <w:tc>
          <w:tcPr>
            <w:tcW w:type="dxa" w:w="2438"/>
            <w:shd w:val="clear" w:color="auto" w:fill="F2F5F9"/>
          </w:tcPr>
          <w:p>
            <w:r/>
            <w:r>
              <w:rPr>
                <w:sz w:val="17"/>
              </w:rPr>
              <w:t>1,24</w:t>
            </w:r>
          </w:p>
        </w:tc>
        <w:tc>
          <w:tcPr>
            <w:tcW w:type="dxa" w:w="2438"/>
            <w:shd w:val="clear" w:color="auto" w:fill="F2F5F9"/>
          </w:tcPr>
          <w:p>
            <w:r/>
            <w:r>
              <w:rPr>
                <w:sz w:val="17"/>
              </w:rPr>
              <w:t>0,58</w:t>
            </w:r>
          </w:p>
        </w:tc>
      </w:tr>
    </w:tbl>
    <w:p>
      <w:r>
        <w:rPr>
          <w:i/>
          <w:sz w:val="16"/>
        </w:rPr>
        <w:t>Walk-forward: los pesos se calibran solo con 2013-2019 y se evalúan en 2020-2026. Markowitz con medias históricas sobreajusta; Black-Litterman calibrado con la misma información mantiene el mejor desempeño fuera de muestra, lo que respalda su uso.</w:t>
      </w:r>
    </w:p>
    <w:p>
      <w:r>
        <w:rPr>
          <w:i w:val="0"/>
        </w:rPr>
        <w:t>Sesgos y limitaciones declarados:</w:t>
      </w:r>
    </w:p>
    <w:p>
      <w:pPr>
        <w:pStyle w:val="ListBullet"/>
      </w:pPr>
      <w:r>
        <w:t>Clasificación sectorial actual (no histórica) en el límite sectorial: sesgo de anticipación leve; afecta sobre todo antes de 2016 y a ~3% de posiciones sin clasificar.</w:t>
      </w:r>
    </w:p>
    <w:p>
      <w:pPr>
        <w:pStyle w:val="ListBullet"/>
      </w:pPr>
      <w:r>
        <w:t>Precio faltante en el mes: se trata como 0% en esa posición.</w:t>
      </w:r>
    </w:p>
    <w:p>
      <w:pPr>
        <w:pStyle w:val="ListBullet"/>
      </w:pPr>
      <w:r>
        <w:t>Commodities: universo ampliado mirando el backtest (sesgo de selección), controlado con el universo original.</w:t>
      </w:r>
    </w:p>
    <w:p>
      <w:pPr>
        <w:pStyle w:val="ListBullet"/>
      </w:pPr>
      <w:r>
        <w:t>Montecarlo: bootstrap independiente (no captura regímenes ni autocorrelación); los supuestos prospectivos son propios, no pronósticos.</w:t>
      </w:r>
    </w:p>
    <w:p>
      <w:r>
        <w:br w:type="page"/>
      </w:r>
    </w:p>
    <w:p>
      <w:pPr>
        <w:pStyle w:val="Heading1"/>
      </w:pPr>
      <w:r>
        <w:t>5. Implementación en StockTrak (al 5-oct-2026)</w:t>
      </w:r>
    </w:p>
    <w:p>
      <w:r>
        <w:rPr>
          <w:i w:val="0"/>
        </w:rPr>
        <w:t>La cartera se implementó el 14-sep-2026 con los pesos aprobados. Decisiones relevantes durante la ejecución:</w:t>
      </w:r>
    </w:p>
    <w:p>
      <w:pPr>
        <w:pStyle w:val="ListBullet"/>
      </w:pPr>
      <w:r>
        <w:rPr>
          <w:b/>
        </w:rPr>
        <w:t xml:space="preserve">Rebalanceo de fin de septiembre: </w:t>
      </w:r>
      <w:r>
        <w:t>Momentum se llevó a peso igual; Moderna se redujo de 12 a 5 acciones, asegurando ~USD 225 de ganancia, con un stop móvil sobre el costo para las restantes.</w:t>
      </w:r>
    </w:p>
    <w:p>
      <w:pPr>
        <w:pStyle w:val="ListBullet"/>
      </w:pPr>
      <w:r>
        <w:rPr>
          <w:b/>
        </w:rPr>
        <w:t xml:space="preserve">Low-Volatility: </w:t>
      </w:r>
      <w:r>
        <w:t>se redujo utilities y real estate de 50% a ~29% del sleeve (salieron Realty Income y Duke Energy), por la sensibilidad a tasas observada; entraron PG, RSG y SNA siguiendo el ranking.</w:t>
      </w:r>
    </w:p>
    <w:p>
      <w:pPr>
        <w:pStyle w:val="ListBullet"/>
      </w:pPr>
      <w:r>
        <w:rPr>
          <w:b/>
        </w:rPr>
        <w:t xml:space="preserve">Petróleo: </w:t>
      </w:r>
      <w:r>
        <w:t>se vendieron MPC, VLO y USO para reducir la exposición conjunta al petróleo; la señal de octubre confirmó la salida de USO.</w:t>
      </w:r>
    </w:p>
    <w:p>
      <w:pPr>
        <w:pStyle w:val="ListBullet"/>
      </w:pPr>
      <w:r>
        <w:rPr>
          <w:b/>
        </w:rPr>
        <w:t xml:space="preserve">Operaciones: </w:t>
      </w:r>
      <w:r>
        <w:t>~50 en las primeras tres semanas, en línea con la regla de 150 en 12 semanas.</w:t>
      </w:r>
    </w:p>
    <w:p>
      <w:r>
        <w:rPr>
          <w:i w:val="0"/>
        </w:rPr>
        <w:t>Momentum es el sleeve con mejor desempeño en vivo (≈ +3,7% desde el 14-sep frente a ≈ +2,4% de QMOM). La cartera total se ve afectada por la subida de la tasa a 10 años a 5,3%, que golpea al núcleo de renta fija larga (~30% de la cartera). Es el principal riesgo de corto plazo y está identificado en la sección 6.</w:t>
      </w:r>
    </w:p>
    <w:p>
      <w:pPr>
        <w:pStyle w:val="Heading1"/>
      </w:pPr>
      <w:r>
        <w:t>6. Riesgos principales y mitigantes</w:t>
      </w:r>
    </w:p>
    <w:tbl>
      <w:tblPr>
        <w:tblStyle w:val="TableGrid"/>
        <w:tblW w:type="auto" w:w="0"/>
        <w:jc w:val="center"/>
        <w:tblLook w:firstColumn="1" w:firstRow="1" w:lastColumn="0" w:lastRow="0" w:noHBand="0" w:noVBand="1" w:val="04A0"/>
      </w:tblPr>
      <w:tblGrid>
        <w:gridCol w:w="3211"/>
        <w:gridCol w:w="3211"/>
        <w:gridCol w:w="3211"/>
      </w:tblGrid>
      <w:tr>
        <w:tc>
          <w:tcPr>
            <w:tcW w:type="dxa" w:w="2041"/>
            <w:shd w:val="clear" w:color="auto" w:fill="1F3A5F"/>
          </w:tcPr>
          <w:p>
            <w:r/>
            <w:r>
              <w:rPr>
                <w:b/>
                <w:color w:val="FFFFFF"/>
                <w:sz w:val="17"/>
              </w:rPr>
              <w:t>Riesgo</w:t>
            </w:r>
          </w:p>
        </w:tc>
        <w:tc>
          <w:tcPr>
            <w:tcW w:type="dxa" w:w="3175"/>
            <w:shd w:val="clear" w:color="auto" w:fill="1F3A5F"/>
          </w:tcPr>
          <w:p>
            <w:r/>
            <w:r>
              <w:rPr>
                <w:b/>
                <w:color w:val="FFFFFF"/>
                <w:sz w:val="17"/>
              </w:rPr>
              <w:t>Exposición</w:t>
            </w:r>
          </w:p>
        </w:tc>
        <w:tc>
          <w:tcPr>
            <w:tcW w:type="dxa" w:w="3855"/>
            <w:shd w:val="clear" w:color="auto" w:fill="1F3A5F"/>
          </w:tcPr>
          <w:p>
            <w:r/>
            <w:r>
              <w:rPr>
                <w:b/>
                <w:color w:val="FFFFFF"/>
                <w:sz w:val="17"/>
              </w:rPr>
              <w:t>Mitigante</w:t>
            </w:r>
          </w:p>
        </w:tc>
      </w:tr>
      <w:tr>
        <w:tc>
          <w:tcPr>
            <w:tcW w:type="dxa" w:w="2041"/>
          </w:tcPr>
          <w:p>
            <w:r/>
            <w:r>
              <w:rPr>
                <w:sz w:val="17"/>
              </w:rPr>
              <w:t>Tasas de interés</w:t>
            </w:r>
          </w:p>
        </w:tc>
        <w:tc>
          <w:tcPr>
            <w:tcW w:type="dxa" w:w="3175"/>
          </w:tcPr>
          <w:p>
            <w:r/>
            <w:r>
              <w:rPr>
                <w:sz w:val="17"/>
              </w:rPr>
              <w:t>TLH + VCLT ≈ 31%; más Low-Vol en utilities/REITs</w:t>
            </w:r>
          </w:p>
        </w:tc>
        <w:tc>
          <w:tcPr>
            <w:tcW w:type="dxa" w:w="3855"/>
          </w:tcPr>
          <w:p>
            <w:r/>
            <w:r>
              <w:rPr>
                <w:sz w:val="17"/>
              </w:rPr>
              <w:t>Banda de rebalanceo; límite a utilities/REITs; revisión de la duración en la revisión anual</w:t>
            </w:r>
          </w:p>
        </w:tc>
      </w:tr>
      <w:tr>
        <w:tc>
          <w:tcPr>
            <w:tcW w:type="dxa" w:w="2041"/>
            <w:shd w:val="clear" w:color="auto" w:fill="F2F5F9"/>
          </w:tcPr>
          <w:p>
            <w:r/>
            <w:r>
              <w:rPr>
                <w:sz w:val="17"/>
              </w:rPr>
              <w:t>Retorno de mercado menor al requerido</w:t>
            </w:r>
          </w:p>
        </w:tc>
        <w:tc>
          <w:tcPr>
            <w:tcW w:type="dxa" w:w="3175"/>
            <w:shd w:val="clear" w:color="auto" w:fill="F2F5F9"/>
          </w:tcPr>
          <w:p>
            <w:r/>
            <w:r>
              <w:rPr>
                <w:sz w:val="17"/>
              </w:rPr>
              <w:t>Retorno esperado ≈ requerido</w:t>
            </w:r>
          </w:p>
        </w:tc>
        <w:tc>
          <w:tcPr>
            <w:tcW w:type="dxa" w:w="3855"/>
            <w:shd w:val="clear" w:color="auto" w:fill="F2F5F9"/>
          </w:tcPr>
          <w:p>
            <w:r/>
            <w:r>
              <w:rPr>
                <w:sz w:val="17"/>
              </w:rPr>
              <w:t>Palancas acordadas: herencia y luego Villarrica; nunca Educación</w:t>
            </w:r>
          </w:p>
        </w:tc>
      </w:tr>
      <w:tr>
        <w:tc>
          <w:tcPr>
            <w:tcW w:type="dxa" w:w="2041"/>
          </w:tcPr>
          <w:p>
            <w:r/>
            <w:r>
              <w:rPr>
                <w:sz w:val="17"/>
              </w:rPr>
              <w:t>Concentración tecnológica / capital humano</w:t>
            </w:r>
          </w:p>
        </w:tc>
        <w:tc>
          <w:tcPr>
            <w:tcW w:type="dxa" w:w="3175"/>
          </w:tcPr>
          <w:p>
            <w:r/>
            <w:r>
              <w:rPr>
                <w:sz w:val="17"/>
              </w:rPr>
              <w:t>Empleo de Tomás en software</w:t>
            </w:r>
          </w:p>
        </w:tc>
        <w:tc>
          <w:tcPr>
            <w:tcW w:type="dxa" w:w="3855"/>
          </w:tcPr>
          <w:p>
            <w:r/>
            <w:r>
              <w:rPr>
                <w:sz w:val="17"/>
              </w:rPr>
              <w:t>Límite de 2 acciones por sector en el satélite; tecnología ~14% vs ~26% en la AGF</w:t>
            </w:r>
          </w:p>
        </w:tc>
      </w:tr>
      <w:tr>
        <w:tc>
          <w:tcPr>
            <w:tcW w:type="dxa" w:w="2041"/>
            <w:shd w:val="clear" w:color="auto" w:fill="F2F5F9"/>
          </w:tcPr>
          <w:p>
            <w:r/>
            <w:r>
              <w:rPr>
                <w:sz w:val="17"/>
              </w:rPr>
              <w:t>Caídas abruptas de Momentum</w:t>
            </w:r>
          </w:p>
        </w:tc>
        <w:tc>
          <w:tcPr>
            <w:tcW w:type="dxa" w:w="3175"/>
            <w:shd w:val="clear" w:color="auto" w:fill="F2F5F9"/>
          </w:tcPr>
          <w:p>
            <w:r/>
            <w:r>
              <w:rPr>
                <w:sz w:val="17"/>
              </w:rPr>
              <w:t>7% de la cartera, volatilidad ~24%</w:t>
            </w:r>
          </w:p>
        </w:tc>
        <w:tc>
          <w:tcPr>
            <w:tcW w:type="dxa" w:w="3855"/>
            <w:shd w:val="clear" w:color="auto" w:fill="F2F5F9"/>
          </w:tcPr>
          <w:p>
            <w:r/>
            <w:r>
              <w:rPr>
                <w:sz w:val="17"/>
              </w:rPr>
              <w:t>Peso acotado, peso igual, stops de emergencia</w:t>
            </w:r>
          </w:p>
        </w:tc>
      </w:tr>
      <w:tr>
        <w:tc>
          <w:tcPr>
            <w:tcW w:type="dxa" w:w="2041"/>
          </w:tcPr>
          <w:p>
            <w:r/>
            <w:r>
              <w:rPr>
                <w:sz w:val="17"/>
              </w:rPr>
              <w:t>Tipo de cambio</w:t>
            </w:r>
          </w:p>
        </w:tc>
        <w:tc>
          <w:tcPr>
            <w:tcW w:type="dxa" w:w="3175"/>
          </w:tcPr>
          <w:p>
            <w:r/>
            <w:r>
              <w:rPr>
                <w:sz w:val="17"/>
              </w:rPr>
              <w:t>Objetivos en UF/CLP, activos en USD</w:t>
            </w:r>
          </w:p>
        </w:tc>
        <w:tc>
          <w:tcPr>
            <w:tcW w:type="dxa" w:w="3855"/>
          </w:tcPr>
          <w:p>
            <w:r/>
            <w:r>
              <w:rPr>
                <w:sz w:val="17"/>
              </w:rPr>
              <w:t>Cobertura natural (correlación negativa); simulaciones en UF; reserva cambiaria de 2%</w:t>
            </w:r>
          </w:p>
        </w:tc>
      </w:tr>
      <w:tr>
        <w:tc>
          <w:tcPr>
            <w:tcW w:type="dxa" w:w="2041"/>
            <w:shd w:val="clear" w:color="auto" w:fill="F2F5F9"/>
          </w:tcPr>
          <w:p>
            <w:r/>
            <w:r>
              <w:rPr>
                <w:sz w:val="17"/>
              </w:rPr>
              <w:t>Empleo de Tomás</w:t>
            </w:r>
          </w:p>
        </w:tc>
        <w:tc>
          <w:tcPr>
            <w:tcW w:type="dxa" w:w="3175"/>
            <w:shd w:val="clear" w:color="auto" w:fill="F2F5F9"/>
          </w:tcPr>
          <w:p>
            <w:r/>
            <w:r>
              <w:rPr>
                <w:sz w:val="17"/>
              </w:rPr>
              <w:t>Aportes condicionados a seguir empleado</w:t>
            </w:r>
          </w:p>
        </w:tc>
        <w:tc>
          <w:tcPr>
            <w:tcW w:type="dxa" w:w="3855"/>
            <w:shd w:val="clear" w:color="auto" w:fill="F2F5F9"/>
          </w:tcPr>
          <w:p>
            <w:r/>
            <w:r>
              <w:rPr>
                <w:sz w:val="17"/>
              </w:rPr>
              <w:t>Escenario de 14 aportes en la TIR; fondo de emergencia fuera del mandato; seguro de vida e invalidez</w:t>
            </w:r>
          </w:p>
        </w:tc>
      </w:tr>
    </w:tbl>
    <w:p/>
    <w:p>
      <w:pPr>
        <w:pStyle w:val="Heading1"/>
      </w:pPr>
      <w:r>
        <w:t>7. Conclusión</w:t>
      </w:r>
    </w:p>
    <w:p>
      <w:r>
        <w:rPr>
          <w:i w:val="0"/>
        </w:rPr>
        <w:t>La estrategia Nexum cumple el objetivo prioritario —Educación— en prácticamente todos los escenarios, en USD y en UF. Villarrica y la herencia dependen del retorno que entregue el mercado: se cumplen holgadamente con retornos como los de 2013-2026 y con 47% de probabilidad conjunta bajo supuestos prudentes. Frente a la cartera actual de la AGF, Nexum reduce la concentración en EE.UU. y en tecnología, baja las caídas esperadas y mejora la probabilidad de éxito hacia adelante. La recomendación es mantener la asignación, revisar anualmente el Montecarlo con los gatillos de la sección 2.9 y acordar desde ya el orden de ajuste con la familia.</w:t>
      </w:r>
    </w:p>
    <w:p>
      <w:pPr>
        <w:pStyle w:val="Heading1"/>
      </w:pPr>
      <w:r>
        <w:t>Referencias</w:t>
      </w:r>
    </w:p>
    <w:p>
      <w:pPr>
        <w:ind w:left="340" w:hanging="340"/>
      </w:pPr>
      <w:r>
        <w:rPr>
          <w:sz w:val="17"/>
        </w:rPr>
        <w:t>Ang, A., Hodrick, R., Xing, Y. y Zhang, X. (2006). The Cross-Section of Volatility and Expected Returns. Journal of Finance, 61(1), 259-299.</w:t>
      </w:r>
    </w:p>
    <w:p>
      <w:pPr>
        <w:ind w:left="340" w:hanging="340"/>
      </w:pPr>
      <w:r>
        <w:rPr>
          <w:sz w:val="17"/>
        </w:rPr>
        <w:t>Asness, C., Moskowitz, T. y Pedersen, L. (2013). Value and Momentum Everywhere. Journal of Finance, 68(3), 929-985.</w:t>
      </w:r>
    </w:p>
    <w:p>
      <w:pPr>
        <w:ind w:left="340" w:hanging="340"/>
      </w:pPr>
      <w:r>
        <w:rPr>
          <w:sz w:val="17"/>
        </w:rPr>
        <w:t>Baker, M., Bradley, B. y Wurgler, J. (2011). Benchmarks as Limits to Arbitrage: Understanding the Low-Volatility Anomaly. Financial Analysts Journal, 67(1), 40-54.</w:t>
      </w:r>
    </w:p>
    <w:p>
      <w:pPr>
        <w:ind w:left="340" w:hanging="340"/>
      </w:pPr>
      <w:r>
        <w:rPr>
          <w:sz w:val="17"/>
        </w:rPr>
        <w:t>Barroso, P. y Santa-Clara, P. (2015). Momentum Has Its Moments. Journal of Financial Economics, 116(1), 111-120.</w:t>
      </w:r>
    </w:p>
    <w:p>
      <w:pPr>
        <w:ind w:left="340" w:hanging="340"/>
      </w:pPr>
      <w:r>
        <w:rPr>
          <w:sz w:val="17"/>
        </w:rPr>
        <w:t>Black, F. y Litterman, R. (1992). Global Portfolio Optimization. Financial Analysts Journal, 48(5), 28-43.</w:t>
      </w:r>
    </w:p>
    <w:p>
      <w:pPr>
        <w:ind w:left="340" w:hanging="340"/>
      </w:pPr>
      <w:r>
        <w:rPr>
          <w:sz w:val="17"/>
        </w:rPr>
        <w:t>Blitz, D. y van Vliet, P. (2007). The Volatility Effect. Journal of Portfolio Management, 34(1), 102-113.</w:t>
      </w:r>
    </w:p>
    <w:p>
      <w:pPr>
        <w:ind w:left="340" w:hanging="340"/>
      </w:pPr>
      <w:r>
        <w:rPr>
          <w:sz w:val="17"/>
        </w:rPr>
        <w:t>Carhart, M. (1997). On Persistence in Mutual Fund Performance. Journal of Finance, 52(1), 57-82.</w:t>
      </w:r>
    </w:p>
    <w:p>
      <w:pPr>
        <w:ind w:left="340" w:hanging="340"/>
      </w:pPr>
      <w:r>
        <w:rPr>
          <w:sz w:val="17"/>
        </w:rPr>
        <w:t>Daniel, K. y Moskowitz, T. (2016). Momentum Crashes. Journal of Financial Economics, 122(2), 221-247.</w:t>
      </w:r>
    </w:p>
    <w:p>
      <w:pPr>
        <w:ind w:left="340" w:hanging="340"/>
      </w:pPr>
      <w:r>
        <w:rPr>
          <w:sz w:val="17"/>
        </w:rPr>
        <w:t>DeMiguel, V., Garlappi, L. y Uppal, R. (2009). Optimal Versus Naive Diversification. Review of Financial Studies, 22(5), 1915-1953.</w:t>
      </w:r>
    </w:p>
    <w:p>
      <w:pPr>
        <w:ind w:left="340" w:hanging="340"/>
      </w:pPr>
      <w:r>
        <w:rPr>
          <w:sz w:val="17"/>
        </w:rPr>
        <w:t>Erb, C. y Harvey, C. (2006). The Strategic and Tactical Value of Commodity Futures. Financial Analysts Journal, 62(2), 69-97.</w:t>
      </w:r>
    </w:p>
    <w:p>
      <w:pPr>
        <w:ind w:left="340" w:hanging="340"/>
      </w:pPr>
      <w:r>
        <w:rPr>
          <w:sz w:val="17"/>
        </w:rPr>
        <w:t>Faber, M. (2007). A Quantitative Approach to Tactical Asset Allocation. Journal of Wealth Management, 9(4), 69-79.</w:t>
      </w:r>
    </w:p>
    <w:p>
      <w:pPr>
        <w:ind w:left="340" w:hanging="340"/>
      </w:pPr>
      <w:r>
        <w:rPr>
          <w:sz w:val="17"/>
        </w:rPr>
        <w:t>Frazzini, A. y Pedersen, L. (2014). Betting Against Beta. Journal of Financial Economics, 111(1), 1-25.</w:t>
      </w:r>
    </w:p>
    <w:p>
      <w:pPr>
        <w:ind w:left="340" w:hanging="340"/>
      </w:pPr>
      <w:r>
        <w:rPr>
          <w:sz w:val="17"/>
        </w:rPr>
        <w:t>Grinold, R. y Kahn, R. (2000). Active Portfolio Management (2a ed.). McGraw-Hill.</w:t>
      </w:r>
    </w:p>
    <w:p>
      <w:pPr>
        <w:ind w:left="340" w:hanging="340"/>
      </w:pPr>
      <w:r>
        <w:rPr>
          <w:sz w:val="17"/>
        </w:rPr>
        <w:t>Haugen, R. y Heins, A. (1975). Risk and the Rate of Return on Financial Assets. Journal of Financial and Quantitative Analysis, 10(5), 775-784.</w:t>
      </w:r>
    </w:p>
    <w:p>
      <w:pPr>
        <w:ind w:left="340" w:hanging="340"/>
      </w:pPr>
      <w:r>
        <w:rPr>
          <w:sz w:val="17"/>
        </w:rPr>
        <w:t>He, G. y Litterman, R. (1999). The Intuition Behind Black-Litterman Model Portfolios. Goldman Sachs Investment Management Research.</w:t>
      </w:r>
    </w:p>
    <w:p>
      <w:pPr>
        <w:ind w:left="340" w:hanging="340"/>
      </w:pPr>
      <w:r>
        <w:rPr>
          <w:sz w:val="17"/>
        </w:rPr>
        <w:t>Jegadeesh, N. y Titman, S. (1993). Returns to Buying Winners and Selling Losers. Journal of Finance, 48(1), 65-91.</w:t>
      </w:r>
    </w:p>
    <w:p>
      <w:pPr>
        <w:ind w:left="340" w:hanging="340"/>
      </w:pPr>
      <w:r>
        <w:rPr>
          <w:sz w:val="17"/>
        </w:rPr>
        <w:t>Markowitz, H. (1952). Portfolio Selection. Journal of Finance, 7(1), 77-91.</w:t>
      </w:r>
    </w:p>
    <w:p>
      <w:pPr>
        <w:ind w:left="340" w:hanging="340"/>
      </w:pPr>
      <w:r>
        <w:rPr>
          <w:sz w:val="17"/>
        </w:rPr>
        <w:t>McLean, R. y Pontiff, J. (2016). Does Academic Research Destroy Stock Return Predictability? Journal of Finance, 71(1), 5-32.</w:t>
      </w:r>
    </w:p>
    <w:p>
      <w:pPr>
        <w:ind w:left="340" w:hanging="340"/>
      </w:pPr>
      <w:r>
        <w:rPr>
          <w:sz w:val="17"/>
        </w:rPr>
        <w:t>Miffre, J. y Rallis, G. (2007). Momentum Strategies in Commodity Futures Markets. Journal of Banking &amp; Finance, 31(6), 1863-1886.</w:t>
      </w:r>
    </w:p>
    <w:p>
      <w:pPr>
        <w:ind w:left="340" w:hanging="340"/>
      </w:pPr>
      <w:r>
        <w:rPr>
          <w:sz w:val="17"/>
        </w:rPr>
        <w:t>Moskowitz, T., Ooi, Y. y Pedersen, L. (2012). Time Series Momentum. Journal of Financial Economics, 104(2), 228-250.</w:t>
      </w:r>
    </w:p>
    <w:p>
      <w:r>
        <w:br w:type="page"/>
      </w:r>
    </w:p>
    <w:p>
      <w:pPr>
        <w:pStyle w:val="Heading1"/>
      </w:pPr>
      <w:r>
        <w:t>Anexo A. Bitácora de auditoría del modelo anterior</w:t>
      </w:r>
    </w:p>
    <w:tbl>
      <w:tblPr>
        <w:tblStyle w:val="TableGrid"/>
        <w:tblW w:type="auto" w:w="0"/>
        <w:jc w:val="center"/>
        <w:tblLook w:firstColumn="1" w:firstRow="1" w:lastColumn="0" w:lastRow="0" w:noHBand="0" w:noVBand="1" w:val="04A0"/>
      </w:tblPr>
      <w:tblGrid>
        <w:gridCol w:w="3211"/>
        <w:gridCol w:w="3211"/>
        <w:gridCol w:w="3211"/>
      </w:tblGrid>
      <w:tr>
        <w:tc>
          <w:tcPr>
            <w:tcW w:type="dxa" w:w="1020"/>
            <w:shd w:val="clear" w:color="auto" w:fill="1F3A5F"/>
          </w:tcPr>
          <w:p>
            <w:r/>
            <w:r>
              <w:rPr>
                <w:b/>
                <w:color w:val="FFFFFF"/>
                <w:sz w:val="17"/>
              </w:rPr>
              <w:t>Gravedad</w:t>
            </w:r>
          </w:p>
        </w:tc>
        <w:tc>
          <w:tcPr>
            <w:tcW w:type="dxa" w:w="4762"/>
            <w:shd w:val="clear" w:color="auto" w:fill="1F3A5F"/>
          </w:tcPr>
          <w:p>
            <w:r/>
            <w:r>
              <w:rPr>
                <w:b/>
                <w:color w:val="FFFFFF"/>
                <w:sz w:val="17"/>
              </w:rPr>
              <w:t>Hallazgo</w:t>
            </w:r>
          </w:p>
        </w:tc>
        <w:tc>
          <w:tcPr>
            <w:tcW w:type="dxa" w:w="3288"/>
            <w:shd w:val="clear" w:color="auto" w:fill="1F3A5F"/>
          </w:tcPr>
          <w:p>
            <w:r/>
            <w:r>
              <w:rPr>
                <w:b/>
                <w:color w:val="FFFFFF"/>
                <w:sz w:val="17"/>
              </w:rPr>
              <w:t>Corrección</w:t>
            </w:r>
          </w:p>
        </w:tc>
      </w:tr>
      <w:tr>
        <w:tc>
          <w:tcPr>
            <w:tcW w:type="dxa" w:w="1020"/>
          </w:tcPr>
          <w:p>
            <w:r/>
            <w:r>
              <w:rPr>
                <w:sz w:val="17"/>
              </w:rPr>
              <w:t>Alta</w:t>
            </w:r>
          </w:p>
        </w:tc>
        <w:tc>
          <w:tcPr>
            <w:tcW w:type="dxa" w:w="4762"/>
          </w:tcPr>
          <w:p>
            <w:r/>
            <w:r>
              <w:rPr>
                <w:sz w:val="17"/>
              </w:rPr>
              <w:t>Fórmulas sin valores guardados en el Excel</w:t>
            </w:r>
          </w:p>
        </w:tc>
        <w:tc>
          <w:tcPr>
            <w:tcW w:type="dxa" w:w="3288"/>
          </w:tcPr>
          <w:p>
            <w:r/>
            <w:r>
              <w:rPr>
                <w:sz w:val="17"/>
              </w:rPr>
              <w:t>Modelo v2 recalculado y guardado en Excel</w:t>
            </w:r>
          </w:p>
        </w:tc>
      </w:tr>
      <w:tr>
        <w:tc>
          <w:tcPr>
            <w:tcW w:type="dxa" w:w="1020"/>
            <w:shd w:val="clear" w:color="auto" w:fill="F2F5F9"/>
          </w:tcPr>
          <w:p>
            <w:r/>
            <w:r>
              <w:rPr>
                <w:sz w:val="17"/>
              </w:rPr>
              <w:t>Alta</w:t>
            </w:r>
          </w:p>
        </w:tc>
        <w:tc>
          <w:tcPr>
            <w:tcW w:type="dxa" w:w="4762"/>
            <w:shd w:val="clear" w:color="auto" w:fill="F2F5F9"/>
          </w:tcPr>
          <w:p>
            <w:r/>
            <w:r>
              <w:rPr>
                <w:sz w:val="17"/>
              </w:rPr>
              <w:t>Mezcla de dos arquitecturas (calce LDI de Educación vs cartera única) y notas 'PENDIENTE'</w:t>
            </w:r>
          </w:p>
        </w:tc>
        <w:tc>
          <w:tcPr>
            <w:tcW w:type="dxa" w:w="3288"/>
            <w:shd w:val="clear" w:color="auto" w:fill="F2F5F9"/>
          </w:tcPr>
          <w:p>
            <w:r/>
            <w:r>
              <w:rPr>
                <w:sz w:val="17"/>
              </w:rPr>
              <w:t>Solo cartera única; textos depurados</w:t>
            </w:r>
          </w:p>
        </w:tc>
      </w:tr>
      <w:tr>
        <w:tc>
          <w:tcPr>
            <w:tcW w:type="dxa" w:w="1020"/>
          </w:tcPr>
          <w:p>
            <w:r/>
            <w:r>
              <w:rPr>
                <w:sz w:val="17"/>
              </w:rPr>
              <w:t>Alta</w:t>
            </w:r>
          </w:p>
        </w:tc>
        <w:tc>
          <w:tcPr>
            <w:tcW w:type="dxa" w:w="4762"/>
          </w:tcPr>
          <w:p>
            <w:r/>
            <w:r>
              <w:rPr>
                <w:sz w:val="17"/>
              </w:rPr>
              <w:t>Referencias a Betting Against Beta (BAB_EQ)</w:t>
            </w:r>
          </w:p>
        </w:tc>
        <w:tc>
          <w:tcPr>
            <w:tcW w:type="dxa" w:w="3288"/>
          </w:tcPr>
          <w:p>
            <w:r/>
            <w:r>
              <w:rPr>
                <w:sz w:val="17"/>
              </w:rPr>
              <w:t>Eliminadas; la estrategia es Low-Volatility</w:t>
            </w:r>
          </w:p>
        </w:tc>
      </w:tr>
      <w:tr>
        <w:tc>
          <w:tcPr>
            <w:tcW w:type="dxa" w:w="1020"/>
            <w:shd w:val="clear" w:color="auto" w:fill="F2F5F9"/>
          </w:tcPr>
          <w:p>
            <w:r/>
            <w:r>
              <w:rPr>
                <w:sz w:val="17"/>
              </w:rPr>
              <w:t>Alta</w:t>
            </w:r>
          </w:p>
        </w:tc>
        <w:tc>
          <w:tcPr>
            <w:tcW w:type="dxa" w:w="4762"/>
            <w:shd w:val="clear" w:color="auto" w:fill="F2F5F9"/>
          </w:tcPr>
          <w:p>
            <w:r/>
            <w:r>
              <w:rPr>
                <w:sz w:val="17"/>
              </w:rPr>
              <w:t>Meses jul-2018 y dic-2018 eliminados de las 6 series por un dato vacío de Low-Vol</w:t>
            </w:r>
          </w:p>
        </w:tc>
        <w:tc>
          <w:tcPr>
            <w:tcW w:type="dxa" w:w="3288"/>
            <w:shd w:val="clear" w:color="auto" w:fill="F2F5F9"/>
          </w:tcPr>
          <w:p>
            <w:r/>
            <w:r>
              <w:rPr>
                <w:sz w:val="17"/>
              </w:rPr>
              <w:t>Ventana completa de 164 meses</w:t>
            </w:r>
          </w:p>
        </w:tc>
      </w:tr>
      <w:tr>
        <w:tc>
          <w:tcPr>
            <w:tcW w:type="dxa" w:w="1020"/>
          </w:tcPr>
          <w:p>
            <w:r/>
            <w:r>
              <w:rPr>
                <w:sz w:val="17"/>
              </w:rPr>
              <w:t>Alta</w:t>
            </w:r>
          </w:p>
        </w:tc>
        <w:tc>
          <w:tcPr>
            <w:tcW w:type="dxa" w:w="4762"/>
          </w:tcPr>
          <w:p>
            <w:r/>
            <w:r>
              <w:rPr>
                <w:sz w:val="17"/>
              </w:rPr>
              <w:t>Filtro de Sharpe de Momentum con volatilidad de 1 mes en el backtest y 12 meses en la operación</w:t>
            </w:r>
          </w:p>
        </w:tc>
        <w:tc>
          <w:tcPr>
            <w:tcW w:type="dxa" w:w="3288"/>
          </w:tcPr>
          <w:p>
            <w:r/>
            <w:r>
              <w:rPr>
                <w:sz w:val="17"/>
              </w:rPr>
              <w:t>Una sola regla: 12 meses</w:t>
            </w:r>
          </w:p>
        </w:tc>
      </w:tr>
      <w:tr>
        <w:tc>
          <w:tcPr>
            <w:tcW w:type="dxa" w:w="1020"/>
            <w:shd w:val="clear" w:color="auto" w:fill="F2F5F9"/>
          </w:tcPr>
          <w:p>
            <w:r/>
            <w:r>
              <w:rPr>
                <w:sz w:val="17"/>
              </w:rPr>
              <w:t>Media</w:t>
            </w:r>
          </w:p>
        </w:tc>
        <w:tc>
          <w:tcPr>
            <w:tcW w:type="dxa" w:w="4762"/>
            <w:shd w:val="clear" w:color="auto" w:fill="F2F5F9"/>
          </w:tcPr>
          <w:p>
            <w:r/>
            <w:r>
              <w:rPr>
                <w:sz w:val="17"/>
              </w:rPr>
              <w:t>Columna π desplazada una fila en Black-Litterman; μ_BL y pesos pegados como valores</w:t>
            </w:r>
          </w:p>
        </w:tc>
        <w:tc>
          <w:tcPr>
            <w:tcW w:type="dxa" w:w="3288"/>
            <w:shd w:val="clear" w:color="auto" w:fill="F2F5F9"/>
          </w:tcPr>
          <w:p>
            <w:r/>
            <w:r>
              <w:rPr>
                <w:sz w:val="17"/>
              </w:rPr>
              <w:t>Fórmulas matriciales vivas (MMULT, MINVERSE)</w:t>
            </w:r>
          </w:p>
        </w:tc>
      </w:tr>
      <w:tr>
        <w:tc>
          <w:tcPr>
            <w:tcW w:type="dxa" w:w="1020"/>
          </w:tcPr>
          <w:p>
            <w:r/>
            <w:r>
              <w:rPr>
                <w:sz w:val="17"/>
              </w:rPr>
              <w:t>Media</w:t>
            </w:r>
          </w:p>
        </w:tc>
        <w:tc>
          <w:tcPr>
            <w:tcW w:type="dxa" w:w="4762"/>
          </w:tcPr>
          <w:p>
            <w:r/>
            <w:r>
              <w:rPr>
                <w:sz w:val="17"/>
              </w:rPr>
              <w:t>Benchmarks distintos entre hojas</w:t>
            </w:r>
          </w:p>
        </w:tc>
        <w:tc>
          <w:tcPr>
            <w:tcW w:type="dxa" w:w="3288"/>
          </w:tcPr>
          <w:p>
            <w:r/>
            <w:r>
              <w:rPr>
                <w:sz w:val="17"/>
              </w:rPr>
              <w:t>Un benchmark invertible por sleeve</w:t>
            </w:r>
          </w:p>
        </w:tc>
      </w:tr>
      <w:tr>
        <w:tc>
          <w:tcPr>
            <w:tcW w:type="dxa" w:w="1020"/>
            <w:shd w:val="clear" w:color="auto" w:fill="F2F5F9"/>
          </w:tcPr>
          <w:p>
            <w:r/>
            <w:r>
              <w:rPr>
                <w:sz w:val="17"/>
              </w:rPr>
              <w:t>Media</w:t>
            </w:r>
          </w:p>
        </w:tc>
        <w:tc>
          <w:tcPr>
            <w:tcW w:type="dxa" w:w="4762"/>
            <w:shd w:val="clear" w:color="auto" w:fill="F2F5F9"/>
          </w:tcPr>
          <w:p>
            <w:r/>
            <w:r>
              <w:rPr>
                <w:sz w:val="17"/>
              </w:rPr>
              <w:t>Universo de commodities ampliado mirando el backtest</w:t>
            </w:r>
          </w:p>
        </w:tc>
        <w:tc>
          <w:tcPr>
            <w:tcW w:type="dxa" w:w="3288"/>
            <w:shd w:val="clear" w:color="auto" w:fill="F2F5F9"/>
          </w:tcPr>
          <w:p>
            <w:r/>
            <w:r>
              <w:rPr>
                <w:sz w:val="17"/>
              </w:rPr>
              <w:t>Declarado y controlado</w:t>
            </w:r>
          </w:p>
        </w:tc>
      </w:tr>
      <w:tr>
        <w:tc>
          <w:tcPr>
            <w:tcW w:type="dxa" w:w="1020"/>
          </w:tcPr>
          <w:p>
            <w:r/>
            <w:r>
              <w:rPr>
                <w:sz w:val="17"/>
              </w:rPr>
              <w:t>Baja</w:t>
            </w:r>
          </w:p>
        </w:tc>
        <w:tc>
          <w:tcPr>
            <w:tcW w:type="dxa" w:w="4762"/>
          </w:tcPr>
          <w:p>
            <w:r/>
            <w:r>
              <w:rPr>
                <w:sz w:val="17"/>
              </w:rPr>
              <w:t>Métricas de la misma estrategia con distintas convenciones</w:t>
            </w:r>
          </w:p>
        </w:tc>
        <w:tc>
          <w:tcPr>
            <w:tcW w:type="dxa" w:w="3288"/>
          </w:tcPr>
          <w:p>
            <w:r/>
            <w:r>
              <w:rPr>
                <w:sz w:val="17"/>
              </w:rPr>
              <w:t>Una convención: exceso sobre T-Bills</w:t>
            </w:r>
          </w:p>
        </w:tc>
      </w:tr>
    </w:tbl>
    <w:p/>
    <w:p>
      <w:pPr>
        <w:pStyle w:val="Heading1"/>
      </w:pPr>
      <w:r>
        <w:t>Anexo B. Reproducibilidad</w:t>
      </w:r>
    </w:p>
    <w:p>
      <w:pPr>
        <w:pStyle w:val="ListBullet"/>
      </w:pPr>
      <w:r>
        <w:t>codigo/config.py: todos los parámetros. codigo/estrategias.py: backtests. codigo/portafolio.py: Markowitz, Black-Litterman, benchmark y métricas.</w:t>
      </w:r>
    </w:p>
    <w:p>
      <w:pPr>
        <w:pStyle w:val="ListBullet"/>
      </w:pPr>
      <w:r>
        <w:t>codigo/objetivos.py: flujos y TIR. codigo/montecarlo.py: simulación. codigo/validacion.py: robustez y walk-forward.</w:t>
      </w:r>
    </w:p>
    <w:p>
      <w:pPr>
        <w:pStyle w:val="ListBullet"/>
      </w:pPr>
      <w:r>
        <w:t>codigo/run_all.py corre todo; codigo/excel_modelo.py genera el Excel; codigo/figuras.py e informe.py, este documento; codigo/senales.py, las señales de operación.</w:t>
      </w:r>
    </w:p>
    <w:p>
      <w:pPr>
        <w:pStyle w:val="ListBullet"/>
      </w:pPr>
      <w:r>
        <w:t>La versión portada de los backtests reproduce exactamente los resultados del modelo anterior (diferencia máxima 10⁻¹⁶) antes de aplicar las correcciones.</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