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587"/>
            <w:shd w:val="clear" w:color="auto" w:fill="1F3A5F"/>
          </w:tcPr>
          <w:p>
            <w:r/>
            <w:r>
              <w:rPr>
                <w:b/>
                <w:color w:val="FFFFFF"/>
                <w:sz w:val="17"/>
              </w:rPr>
              <w:t>Banco</w:t>
            </w:r>
          </w:p>
        </w:tc>
        <w:tc>
          <w:tcPr>
            <w:tcW w:type="dxa" w:w="1247"/>
            <w:shd w:val="clear" w:color="auto" w:fill="1F3A5F"/>
          </w:tcPr>
          <w:p>
            <w:r/>
            <w:r>
              <w:rPr>
                <w:b/>
                <w:color w:val="FFFFFF"/>
                <w:sz w:val="17"/>
              </w:rPr>
              <w:t>Fecha de cotización</w:t>
            </w:r>
          </w:p>
        </w:tc>
        <w:tc>
          <w:tcPr>
            <w:tcW w:type="dxa" w:w="1587"/>
            <w:shd w:val="clear" w:color="auto" w:fill="1F3A5F"/>
          </w:tcPr>
          <w:p>
            <w:r/>
            <w:r>
              <w:rPr>
                <w:b/>
                <w:color w:val="FFFFFF"/>
                <w:sz w:val="17"/>
              </w:rPr>
              <w:t>Plazo</w:t>
            </w:r>
          </w:p>
        </w:tc>
        <w:tc>
          <w:tcPr>
            <w:tcW w:type="dxa" w:w="1020"/>
            <w:shd w:val="clear" w:color="auto" w:fill="1F3A5F"/>
          </w:tcPr>
          <w:p>
            <w:r/>
            <w:r>
              <w:rPr>
                <w:b/>
                <w:color w:val="FFFFFF"/>
                <w:sz w:val="17"/>
              </w:rPr>
              <w:t>Spot (CLP)</w:t>
            </w:r>
          </w:p>
        </w:tc>
        <w:tc>
          <w:tcPr>
            <w:tcW w:type="dxa" w:w="1474"/>
            <w:shd w:val="clear" w:color="auto" w:fill="1F3A5F"/>
          </w:tcPr>
          <w:p>
            <w:r/>
            <w:r>
              <w:rPr>
                <w:b/>
                <w:color w:val="FFFFFF"/>
                <w:sz w:val="17"/>
              </w:rPr>
              <w:t>Puntos forward (venta USD)</w:t>
            </w:r>
          </w:p>
        </w:tc>
        <w:tc>
          <w:tcPr>
            <w:tcW w:type="dxa" w:w="1361"/>
            <w:shd w:val="clear" w:color="auto" w:fill="1F3A5F"/>
          </w:tcPr>
          <w:p>
            <w:r/>
            <w:r>
              <w:rPr>
                <w:b/>
                <w:color w:val="FFFFFF"/>
                <w:sz w:val="17"/>
              </w:rPr>
              <w:t>Forward (CLP por USD)</w:t>
            </w:r>
          </w:p>
        </w:tc>
        <w:tc>
          <w:tcPr>
            <w:tcW w:type="dxa" w:w="907"/>
            <w:shd w:val="clear" w:color="auto" w:fill="1F3A5F"/>
          </w:tcPr>
          <w:p>
            <w:r/>
            <w:r>
              <w:rPr>
                <w:b/>
                <w:color w:val="FFFFFF"/>
                <w:sz w:val="17"/>
              </w:rPr>
              <w:t>Uso</w:t>
            </w:r>
          </w:p>
        </w:tc>
      </w:tr>
      <w:tr>
        <w:tc>
          <w:tcPr>
            <w:tcW w:type="dxa" w:w="1587"/>
          </w:tcPr>
          <w:p>
            <w:r/>
            <w:r>
              <w:rPr>
                <w:sz w:val="17"/>
              </w:rPr>
              <w:t>Banco de Chile (BDCH)</w:t>
            </w:r>
          </w:p>
        </w:tc>
        <w:tc>
          <w:tcPr>
            <w:tcW w:type="dxa" w:w="1247"/>
          </w:tcPr>
          <w:p>
            <w:r/>
            <w:r>
              <w:rPr>
                <w:sz w:val="17"/>
              </w:rPr>
              <w:t>28-sep-2026</w:t>
            </w:r>
          </w:p>
        </w:tc>
        <w:tc>
          <w:tcPr>
            <w:tcW w:type="dxa" w:w="1587"/>
          </w:tcPr>
          <w:p>
            <w:r/>
            <w:r>
              <w:rPr>
                <w:sz w:val="17"/>
              </w:rPr>
              <w:t>1 año (vence 30-sep-2027)</w:t>
            </w:r>
          </w:p>
        </w:tc>
        <w:tc>
          <w:tcPr>
            <w:tcW w:type="dxa" w:w="1020"/>
          </w:tcPr>
          <w:p>
            <w:r/>
            <w:r>
              <w:rPr>
                <w:sz w:val="17"/>
              </w:rPr>
              <w:t>967,32</w:t>
            </w:r>
          </w:p>
        </w:tc>
        <w:tc>
          <w:tcPr>
            <w:tcW w:type="dxa" w:w="1474"/>
          </w:tcPr>
          <w:p>
            <w:r/>
            <w:r>
              <w:rPr>
                <w:sz w:val="17"/>
              </w:rPr>
              <w:t>−4,24</w:t>
            </w:r>
          </w:p>
        </w:tc>
        <w:tc>
          <w:tcPr>
            <w:tcW w:type="dxa" w:w="1361"/>
          </w:tcPr>
          <w:p>
            <w:r/>
            <w:r>
              <w:rPr>
                <w:sz w:val="17"/>
              </w:rPr>
              <w:t>963,08</w:t>
            </w:r>
          </w:p>
        </w:tc>
        <w:tc>
          <w:tcPr>
            <w:tcW w:type="dxa" w:w="907"/>
          </w:tcPr>
          <w:p>
            <w:r/>
            <w:r>
              <w:rPr>
                <w:sz w:val="17"/>
              </w:rPr>
              <w:t>Contratado</w:t>
            </w:r>
          </w:p>
        </w:tc>
      </w:tr>
      <w:tr>
        <w:tc>
          <w:tcPr>
            <w:tcW w:type="dxa" w:w="1587"/>
            <w:shd w:val="clear" w:color="auto" w:fill="F2F5F9"/>
          </w:tcPr>
          <w:p>
            <w:r/>
            <w:r>
              <w:rPr>
                <w:sz w:val="17"/>
              </w:rPr>
              <w:t>BCI</w:t>
            </w:r>
          </w:p>
        </w:tc>
        <w:tc>
          <w:tcPr>
            <w:tcW w:type="dxa" w:w="1247"/>
            <w:shd w:val="clear" w:color="auto" w:fill="F2F5F9"/>
          </w:tcPr>
          <w:p>
            <w:r/>
            <w:r>
              <w:rPr>
                <w:sz w:val="17"/>
              </w:rPr>
              <w:t>28-sep-2026</w:t>
            </w:r>
          </w:p>
        </w:tc>
        <w:tc>
          <w:tcPr>
            <w:tcW w:type="dxa" w:w="1587"/>
            <w:shd w:val="clear" w:color="auto" w:fill="F2F5F9"/>
          </w:tcPr>
          <w:p>
            <w:r/>
            <w:r>
              <w:rPr>
                <w:sz w:val="17"/>
              </w:rPr>
              <w:t>1 año (vence 30-sep-2027)</w:t>
            </w:r>
          </w:p>
        </w:tc>
        <w:tc>
          <w:tcPr>
            <w:tcW w:type="dxa" w:w="1020"/>
            <w:shd w:val="clear" w:color="auto" w:fill="F2F5F9"/>
          </w:tcPr>
          <w:p>
            <w:r/>
            <w:r>
              <w:rPr>
                <w:sz w:val="17"/>
              </w:rPr>
              <w:t>967,33 (bid)</w:t>
            </w:r>
          </w:p>
        </w:tc>
        <w:tc>
          <w:tcPr>
            <w:tcW w:type="dxa" w:w="1474"/>
            <w:shd w:val="clear" w:color="auto" w:fill="F2F5F9"/>
          </w:tcPr>
          <w:p>
            <w:r/>
            <w:r>
              <w:rPr>
                <w:sz w:val="17"/>
              </w:rPr>
              <w:t>−0,30 / +0,30 (bid/ask)</w:t>
            </w:r>
          </w:p>
        </w:tc>
        <w:tc>
          <w:tcPr>
            <w:tcW w:type="dxa" w:w="1361"/>
            <w:shd w:val="clear" w:color="auto" w:fill="F2F5F9"/>
          </w:tcPr>
          <w:p>
            <w:r/>
            <w:r>
              <w:rPr>
                <w:sz w:val="17"/>
              </w:rPr>
              <w:t>967,03 / 968,45</w:t>
            </w:r>
          </w:p>
        </w:tc>
        <w:tc>
          <w:tcPr>
            <w:tcW w:type="dxa" w:w="907"/>
            <w:shd w:val="clear" w:color="auto" w:fill="F2F5F9"/>
          </w:tcPr>
          <w:p>
            <w:r/>
            <w:r>
              <w:rPr>
                <w:sz w:val="17"/>
              </w:rPr>
              <w:t>Referencia</w:t>
            </w:r>
          </w:p>
        </w:tc>
      </w:tr>
    </w:tbl>
    <w:p>
      <w:r>
        <w:rPr>
          <w:i/>
          <w:sz w:val="16"/>
        </w:rPr>
        <w:t>Fuente: Bloomberg, FX Forward Calculator (USD/CLP NDF, fuente forward BCI; spot REGN). Se contrató con Banco de Chile porque sus puntos son coherentes con la paridad cubierta de tasas (tasa en pesos menor que en dólares implica puntos negativos de ~0,4% anual). La curva de BCI mostró puntos simétricos y redondos (±0,30 a 1 año, ±1,00 a 2 años, ±3,00 a 5 años), propios de una cotización indicativa, por lo que no se usó para contratar.</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3"/>
      </w:pPr>
      <w:r>
        <w:t>Política de cobertura por meta</w:t>
      </w:r>
    </w:p>
    <w:p>
      <w:r>
        <w:rPr>
          <w:i w:val="0"/>
        </w:rPr>
        <w:t>La cobertura se define por meta, siguiendo la lógica de calce de activos y obligaciones (Sharpe y Tint, 1990): cuánto se cubre depende de la moneda y de la cercanía de cada pago. Como toda la gestión se hace en StockTrak, que solo opera instrumentos en USD, la herramienta es el forward USD/CLP renovado al vencer cada contrato (roll-over). Lo que se paga en el contrato cuando el dólar sube no es una pérdida neta, porque los activos en USD valen más en pesos. El riesgo cambiario está incluido en la simulación: medido en UF, la probabilidad prospectiva de cumplir los tres objetivos es 45,3%, frente a 46,5% en USD.</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928"/>
            <w:shd w:val="clear" w:color="auto" w:fill="1F3A5F"/>
          </w:tcPr>
          <w:p>
            <w:r/>
            <w:r>
              <w:rPr>
                <w:b/>
                <w:color w:val="FFFFFF"/>
                <w:sz w:val="17"/>
              </w:rPr>
              <w:t>Meta</w:t>
            </w:r>
          </w:p>
        </w:tc>
        <w:tc>
          <w:tcPr>
            <w:tcW w:type="dxa" w:w="1134"/>
            <w:shd w:val="clear" w:color="auto" w:fill="1F3A5F"/>
          </w:tcPr>
          <w:p>
            <w:r/>
            <w:r>
              <w:rPr>
                <w:b/>
                <w:color w:val="FFFFFF"/>
                <w:sz w:val="17"/>
              </w:rPr>
              <w:t>Horizonte</w:t>
            </w:r>
          </w:p>
        </w:tc>
        <w:tc>
          <w:tcPr>
            <w:tcW w:type="dxa" w:w="2608"/>
            <w:shd w:val="clear" w:color="auto" w:fill="1F3A5F"/>
          </w:tcPr>
          <w:p>
            <w:r/>
            <w:r>
              <w:rPr>
                <w:b/>
                <w:color w:val="FFFFFF"/>
                <w:sz w:val="17"/>
              </w:rPr>
              <w:t>Cobertura con forward USD/CLP renovado</w:t>
            </w:r>
          </w:p>
        </w:tc>
        <w:tc>
          <w:tcPr>
            <w:tcW w:type="dxa" w:w="3402"/>
            <w:shd w:val="clear" w:color="auto" w:fill="1F3A5F"/>
          </w:tcPr>
          <w:p>
            <w:r/>
            <w:r>
              <w:rPr>
                <w:b/>
                <w:color w:val="FFFFFF"/>
                <w:sz w:val="17"/>
              </w:rPr>
              <w:t>Fundamento</w:t>
            </w:r>
          </w:p>
        </w:tc>
      </w:tr>
      <w:tr>
        <w:tc>
          <w:tcPr>
            <w:tcW w:type="dxa" w:w="1928"/>
          </w:tcPr>
          <w:p>
            <w:r/>
            <w:r>
              <w:rPr>
                <w:sz w:val="17"/>
              </w:rPr>
              <w:t>Valor total de la cartera (hoy)</w:t>
            </w:r>
          </w:p>
        </w:tc>
        <w:tc>
          <w:tcPr>
            <w:tcW w:type="dxa" w:w="1134"/>
          </w:tcPr>
          <w:p>
            <w:r/>
            <w:r>
              <w:rPr>
                <w:sz w:val="17"/>
              </w:rPr>
              <w:t>Años 1-10</w:t>
            </w:r>
          </w:p>
        </w:tc>
        <w:tc>
          <w:tcPr>
            <w:tcW w:type="dxa" w:w="2608"/>
          </w:tcPr>
          <w:p>
            <w:r/>
            <w:r>
              <w:rPr>
                <w:sz w:val="17"/>
              </w:rPr>
              <w:t>~70% (rango 50-75%), renovado cada año</w:t>
            </w:r>
          </w:p>
        </w:tc>
        <w:tc>
          <w:tcPr>
            <w:tcW w:type="dxa" w:w="3402"/>
          </w:tcPr>
          <w:p>
            <w:r/>
            <w:r>
              <w:rPr>
                <w:sz w:val="17"/>
              </w:rPr>
              <w:t>El dólar sube cuando caen las bolsas; la parte no cubierta amortigua las caídas en pesos (Campbell, Serfaty-de Medeiros y Viceira, 2010)</w:t>
            </w:r>
          </w:p>
        </w:tc>
      </w:tr>
      <w:tr>
        <w:tc>
          <w:tcPr>
            <w:tcW w:type="dxa" w:w="1928"/>
            <w:shd w:val="clear" w:color="auto" w:fill="F2F5F9"/>
          </w:tcPr>
          <w:p>
            <w:r/>
            <w:r>
              <w:rPr>
                <w:sz w:val="17"/>
              </w:rPr>
              <w:t>Educación</w:t>
            </w:r>
          </w:p>
        </w:tc>
        <w:tc>
          <w:tcPr>
            <w:tcW w:type="dxa" w:w="1134"/>
            <w:shd w:val="clear" w:color="auto" w:fill="F2F5F9"/>
          </w:tcPr>
          <w:p>
            <w:r/>
            <w:r>
              <w:rPr>
                <w:sz w:val="17"/>
              </w:rPr>
              <w:t>Años 14-20</w:t>
            </w:r>
          </w:p>
        </w:tc>
        <w:tc>
          <w:tcPr>
            <w:tcW w:type="dxa" w:w="2608"/>
            <w:shd w:val="clear" w:color="auto" w:fill="F2F5F9"/>
          </w:tcPr>
          <w:p>
            <w:r/>
            <w:r>
              <w:rPr>
                <w:sz w:val="17"/>
              </w:rPr>
              <w:t>100% del valor presente de cada pago desde 3 años antes</w:t>
            </w:r>
          </w:p>
        </w:tc>
        <w:tc>
          <w:tcPr>
            <w:tcW w:type="dxa" w:w="3402"/>
            <w:shd w:val="clear" w:color="auto" w:fill="F2F5F9"/>
          </w:tcPr>
          <w:p>
            <w:r/>
            <w:r>
              <w:rPr>
                <w:sz w:val="17"/>
              </w:rPr>
              <w:t>Meta rígida en UF: el descalce cambiario cercano al pago no alcanza a corregirse</w:t>
            </w:r>
          </w:p>
        </w:tc>
      </w:tr>
      <w:tr>
        <w:tc>
          <w:tcPr>
            <w:tcW w:type="dxa" w:w="1928"/>
          </w:tcPr>
          <w:p>
            <w:r/>
            <w:r>
              <w:rPr>
                <w:sz w:val="17"/>
              </w:rPr>
              <w:t>Villarrica</w:t>
            </w:r>
          </w:p>
        </w:tc>
        <w:tc>
          <w:tcPr>
            <w:tcW w:type="dxa" w:w="1134"/>
          </w:tcPr>
          <w:p>
            <w:r/>
            <w:r>
              <w:rPr>
                <w:sz w:val="17"/>
              </w:rPr>
              <w:t>Año 25</w:t>
            </w:r>
          </w:p>
        </w:tc>
        <w:tc>
          <w:tcPr>
            <w:tcW w:type="dxa" w:w="2608"/>
          </w:tcPr>
          <w:p>
            <w:r/>
            <w:r>
              <w:rPr>
                <w:sz w:val="17"/>
              </w:rPr>
              <w:t>100% del valor presente del pago desde 3 años antes</w:t>
            </w:r>
          </w:p>
        </w:tc>
        <w:tc>
          <w:tcPr>
            <w:tcW w:type="dxa" w:w="3402"/>
          </w:tcPr>
          <w:p>
            <w:r/>
            <w:r>
              <w:rPr>
                <w:sz w:val="17"/>
              </w:rPr>
              <w:t>Meta en UF con fecha conocida</w:t>
            </w:r>
          </w:p>
        </w:tc>
      </w:tr>
      <w:tr>
        <w:tc>
          <w:tcPr>
            <w:tcW w:type="dxa" w:w="1928"/>
            <w:shd w:val="clear" w:color="auto" w:fill="F2F5F9"/>
          </w:tcPr>
          <w:p>
            <w:r/>
            <w:r>
              <w:rPr>
                <w:sz w:val="17"/>
              </w:rPr>
              <w:t>Herencia</w:t>
            </w:r>
          </w:p>
        </w:tc>
        <w:tc>
          <w:tcPr>
            <w:tcW w:type="dxa" w:w="1134"/>
            <w:shd w:val="clear" w:color="auto" w:fill="F2F5F9"/>
          </w:tcPr>
          <w:p>
            <w:r/>
            <w:r>
              <w:rPr>
                <w:sz w:val="17"/>
              </w:rPr>
              <w:t>Año 50</w:t>
            </w:r>
          </w:p>
        </w:tc>
        <w:tc>
          <w:tcPr>
            <w:tcW w:type="dxa" w:w="2608"/>
            <w:shd w:val="clear" w:color="auto" w:fill="F2F5F9"/>
          </w:tcPr>
          <w:p>
            <w:r/>
            <w:r>
              <w:rPr>
                <w:sz w:val="17"/>
              </w:rPr>
              <w:t>Parcial o nula</w:t>
            </w:r>
          </w:p>
        </w:tc>
        <w:tc>
          <w:tcPr>
            <w:tcW w:type="dxa" w:w="3402"/>
            <w:shd w:val="clear" w:color="auto" w:fill="F2F5F9"/>
          </w:tcPr>
          <w:p>
            <w:r/>
            <w:r>
              <w:rPr>
                <w:sz w:val="17"/>
              </w:rPr>
              <w:t>A plazos largos el peso tiende a ajustarse por la diferencia de inflación (Rogoff, 1996) y el beneficio de cubrir cae (Froot, 1993)</w:t>
            </w:r>
          </w:p>
        </w:tc>
      </w:tr>
    </w:tbl>
    <w:p/>
    <w:p>
      <w:pPr>
        <w:pStyle w:val="ListBullet"/>
      </w:pPr>
      <w:r>
        <w:rPr>
          <w:b/>
        </w:rPr>
        <w:t xml:space="preserve">Costos y riesgos que se aceptan: </w:t>
      </w:r>
      <w:r>
        <w:t>los puntos forward (0,44% del monto hoy) dependen del diferencial de tasas y se revisan en cada renovación; el contrato puede renovarse en peores condiciones; y las compensaciones exigen liquidez, que se cubre con la reserva, SGOV y el rebalanceo, sin vender acciones después de una caída.</w:t>
      </w:r>
    </w:p>
    <w:p>
      <w:pPr>
        <w:pStyle w:val="ListBullet"/>
      </w:pPr>
      <w:r>
        <w:rPr>
          <w:b/>
        </w:rPr>
        <w:t xml:space="preserve">Lo que el forward no cubre: </w:t>
      </w:r>
      <w:r>
        <w:t>la inflación chilena. Es el componente menor del riesgo frente a la UF y en el largo plazo queda recogido porque el modelo trabaja en USD reales.</w:t>
      </w:r>
    </w:p>
    <w:p>
      <w:pPr>
        <w:pStyle w:val="ListBullet"/>
      </w:pPr>
      <w:r>
        <w:rPr>
          <w:b/>
        </w:rPr>
        <w:t xml:space="preserve">Mejora para la próxima revisión del IPS: </w:t>
      </w:r>
      <w:r>
        <w:t>para los pagos fijos de Educación, un swap CLF/USD contra SOFR convertiría flujos en USD en flujos en UF a plazos largos. Se recomienda evaluarlo antes del año 11, porque es una herramienta más precisa que el forward para flujos conocidos.</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Desempeño semanal frente al benchmark</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701"/>
            <w:shd w:val="clear" w:color="auto" w:fill="1F3A5F"/>
          </w:tcPr>
          <w:p>
            <w:r/>
            <w:r>
              <w:rPr>
                <w:b/>
                <w:color w:val="FFFFFF"/>
                <w:sz w:val="17"/>
              </w:rPr>
              <w:t>Semana</w:t>
            </w:r>
          </w:p>
        </w:tc>
        <w:tc>
          <w:tcPr>
            <w:tcW w:type="dxa" w:w="1474"/>
            <w:shd w:val="clear" w:color="auto" w:fill="1F3A5F"/>
          </w:tcPr>
          <w:p>
            <w:r/>
            <w:r>
              <w:rPr>
                <w:b/>
                <w:color w:val="FFFFFF"/>
                <w:sz w:val="17"/>
              </w:rPr>
              <w:t>Nexum en la semana</w:t>
            </w:r>
          </w:p>
        </w:tc>
        <w:tc>
          <w:tcPr>
            <w:tcW w:type="dxa" w:w="1474"/>
            <w:shd w:val="clear" w:color="auto" w:fill="1F3A5F"/>
          </w:tcPr>
          <w:p>
            <w:r/>
            <w:r>
              <w:rPr>
                <w:b/>
                <w:color w:val="FFFFFF"/>
                <w:sz w:val="17"/>
              </w:rPr>
              <w:t>Benchmark en la semana</w:t>
            </w:r>
          </w:p>
        </w:tc>
        <w:tc>
          <w:tcPr>
            <w:tcW w:type="dxa" w:w="1474"/>
            <w:shd w:val="clear" w:color="auto" w:fill="1F3A5F"/>
          </w:tcPr>
          <w:p>
            <w:r/>
            <w:r>
              <w:rPr>
                <w:b/>
                <w:color w:val="FFFFFF"/>
                <w:sz w:val="17"/>
              </w:rPr>
              <w:t>Nexum acumulado</w:t>
            </w:r>
          </w:p>
        </w:tc>
        <w:tc>
          <w:tcPr>
            <w:tcW w:type="dxa" w:w="1474"/>
            <w:shd w:val="clear" w:color="auto" w:fill="1F3A5F"/>
          </w:tcPr>
          <w:p>
            <w:r/>
            <w:r>
              <w:rPr>
                <w:b/>
                <w:color w:val="FFFFFF"/>
                <w:sz w:val="17"/>
              </w:rPr>
              <w:t>Benchmark acumulado</w:t>
            </w:r>
          </w:p>
        </w:tc>
        <w:tc>
          <w:tcPr>
            <w:tcW w:type="dxa" w:w="1474"/>
            <w:shd w:val="clear" w:color="auto" w:fill="1F3A5F"/>
          </w:tcPr>
          <w:p>
            <w:r/>
            <w:r>
              <w:rPr>
                <w:b/>
                <w:color w:val="FFFFFF"/>
                <w:sz w:val="17"/>
              </w:rPr>
              <w:t>Diferencia acumulada</w:t>
            </w:r>
          </w:p>
        </w:tc>
      </w:tr>
      <w:tr>
        <w:tc>
          <w:tcPr>
            <w:tcW w:type="dxa" w:w="1701"/>
          </w:tcPr>
          <w:p>
            <w:r/>
            <w:r>
              <w:rPr>
                <w:sz w:val="17"/>
              </w:rPr>
              <w:t>11 al 18-sep</w:t>
            </w:r>
          </w:p>
        </w:tc>
        <w:tc>
          <w:tcPr>
            <w:tcW w:type="dxa" w:w="1474"/>
          </w:tcPr>
          <w:p>
            <w:r/>
            <w:r>
              <w:rPr>
                <w:sz w:val="17"/>
              </w:rPr>
              <w:t>−0,29%</w:t>
            </w:r>
          </w:p>
        </w:tc>
        <w:tc>
          <w:tcPr>
            <w:tcW w:type="dxa" w:w="1474"/>
          </w:tcPr>
          <w:p>
            <w:r/>
            <w:r>
              <w:rPr>
                <w:sz w:val="17"/>
              </w:rPr>
              <w:t>−0,15%</w:t>
            </w:r>
          </w:p>
        </w:tc>
        <w:tc>
          <w:tcPr>
            <w:tcW w:type="dxa" w:w="1474"/>
          </w:tcPr>
          <w:p>
            <w:r/>
            <w:r>
              <w:rPr>
                <w:sz w:val="17"/>
              </w:rPr>
              <w:t>−0,29%</w:t>
            </w:r>
          </w:p>
        </w:tc>
        <w:tc>
          <w:tcPr>
            <w:tcW w:type="dxa" w:w="1474"/>
          </w:tcPr>
          <w:p>
            <w:r/>
            <w:r>
              <w:rPr>
                <w:sz w:val="17"/>
              </w:rPr>
              <w:t>−0,15%</w:t>
            </w:r>
          </w:p>
        </w:tc>
        <w:tc>
          <w:tcPr>
            <w:tcW w:type="dxa" w:w="1474"/>
          </w:tcPr>
          <w:p>
            <w:r/>
            <w:r>
              <w:rPr>
                <w:sz w:val="17"/>
              </w:rPr>
              <w:t>−0,14 pp</w:t>
            </w:r>
          </w:p>
        </w:tc>
      </w:tr>
      <w:tr>
        <w:tc>
          <w:tcPr>
            <w:tcW w:type="dxa" w:w="1701"/>
            <w:shd w:val="clear" w:color="auto" w:fill="F2F5F9"/>
          </w:tcPr>
          <w:p>
            <w:r/>
            <w:r>
              <w:rPr>
                <w:sz w:val="17"/>
              </w:rPr>
              <w:t>19 al 25-sep</w:t>
            </w:r>
          </w:p>
        </w:tc>
        <w:tc>
          <w:tcPr>
            <w:tcW w:type="dxa" w:w="1474"/>
            <w:shd w:val="clear" w:color="auto" w:fill="F2F5F9"/>
          </w:tcPr>
          <w:p>
            <w:r/>
            <w:r>
              <w:rPr>
                <w:sz w:val="17"/>
              </w:rPr>
              <w:t>−0,56%</w:t>
            </w:r>
          </w:p>
        </w:tc>
        <w:tc>
          <w:tcPr>
            <w:tcW w:type="dxa" w:w="1474"/>
            <w:shd w:val="clear" w:color="auto" w:fill="F2F5F9"/>
          </w:tcPr>
          <w:p>
            <w:r/>
            <w:r>
              <w:rPr>
                <w:sz w:val="17"/>
              </w:rPr>
              <w:t>−0,37%</w:t>
            </w:r>
          </w:p>
        </w:tc>
        <w:tc>
          <w:tcPr>
            <w:tcW w:type="dxa" w:w="1474"/>
            <w:shd w:val="clear" w:color="auto" w:fill="F2F5F9"/>
          </w:tcPr>
          <w:p>
            <w:r/>
            <w:r>
              <w:rPr>
                <w:sz w:val="17"/>
              </w:rPr>
              <w:t>−0,85%</w:t>
            </w:r>
          </w:p>
        </w:tc>
        <w:tc>
          <w:tcPr>
            <w:tcW w:type="dxa" w:w="1474"/>
            <w:shd w:val="clear" w:color="auto" w:fill="F2F5F9"/>
          </w:tcPr>
          <w:p>
            <w:r/>
            <w:r>
              <w:rPr>
                <w:sz w:val="17"/>
              </w:rPr>
              <w:t>−0,52%</w:t>
            </w:r>
          </w:p>
        </w:tc>
        <w:tc>
          <w:tcPr>
            <w:tcW w:type="dxa" w:w="1474"/>
            <w:shd w:val="clear" w:color="auto" w:fill="F2F5F9"/>
          </w:tcPr>
          <w:p>
            <w:r/>
            <w:r>
              <w:rPr>
                <w:sz w:val="17"/>
              </w:rPr>
              <w:t>−0,33 pp</w:t>
            </w:r>
          </w:p>
        </w:tc>
      </w:tr>
      <w:tr>
        <w:tc>
          <w:tcPr>
            <w:tcW w:type="dxa" w:w="1701"/>
          </w:tcPr>
          <w:p>
            <w:r/>
            <w:r>
              <w:rPr>
                <w:sz w:val="17"/>
              </w:rPr>
              <w:t>26-sep al 2-oct</w:t>
            </w:r>
          </w:p>
        </w:tc>
        <w:tc>
          <w:tcPr>
            <w:tcW w:type="dxa" w:w="1474"/>
          </w:tcPr>
          <w:p>
            <w:r/>
            <w:r>
              <w:rPr>
                <w:sz w:val="17"/>
              </w:rPr>
              <w:t>−0,95%</w:t>
            </w:r>
          </w:p>
        </w:tc>
        <w:tc>
          <w:tcPr>
            <w:tcW w:type="dxa" w:w="1474"/>
          </w:tcPr>
          <w:p>
            <w:r/>
            <w:r>
              <w:rPr>
                <w:sz w:val="17"/>
              </w:rPr>
              <w:t>−0,64%</w:t>
            </w:r>
          </w:p>
        </w:tc>
        <w:tc>
          <w:tcPr>
            <w:tcW w:type="dxa" w:w="1474"/>
          </w:tcPr>
          <w:p>
            <w:r/>
            <w:r>
              <w:rPr>
                <w:sz w:val="17"/>
              </w:rPr>
              <w:t>−1,79%</w:t>
            </w:r>
          </w:p>
        </w:tc>
        <w:tc>
          <w:tcPr>
            <w:tcW w:type="dxa" w:w="1474"/>
          </w:tcPr>
          <w:p>
            <w:r/>
            <w:r>
              <w:rPr>
                <w:sz w:val="17"/>
              </w:rPr>
              <w:t>−1,16%</w:t>
            </w:r>
          </w:p>
        </w:tc>
        <w:tc>
          <w:tcPr>
            <w:tcW w:type="dxa" w:w="1474"/>
          </w:tcPr>
          <w:p>
            <w:r/>
            <w:r>
              <w:rPr>
                <w:sz w:val="17"/>
              </w:rPr>
              <w:t>−0,63 pp</w:t>
            </w:r>
          </w:p>
        </w:tc>
      </w:tr>
      <w:tr>
        <w:tc>
          <w:tcPr>
            <w:tcW w:type="dxa" w:w="1701"/>
            <w:shd w:val="clear" w:color="auto" w:fill="F2F5F9"/>
          </w:tcPr>
          <w:p>
            <w:r/>
            <w:r>
              <w:rPr>
                <w:sz w:val="17"/>
              </w:rPr>
              <w:t>3 al 9-oct</w:t>
            </w:r>
          </w:p>
        </w:tc>
        <w:tc>
          <w:tcPr>
            <w:tcW w:type="dxa" w:w="1474"/>
            <w:shd w:val="clear" w:color="auto" w:fill="F2F5F9"/>
          </w:tcPr>
          <w:p>
            <w:r/>
            <w:r>
              <w:rPr>
                <w:sz w:val="17"/>
              </w:rPr>
              <w:t>+1,03%</w:t>
            </w:r>
          </w:p>
        </w:tc>
        <w:tc>
          <w:tcPr>
            <w:tcW w:type="dxa" w:w="1474"/>
            <w:shd w:val="clear" w:color="auto" w:fill="F2F5F9"/>
          </w:tcPr>
          <w:p>
            <w:r/>
            <w:r>
              <w:rPr>
                <w:sz w:val="17"/>
              </w:rPr>
              <w:t>+1,01%</w:t>
            </w:r>
          </w:p>
        </w:tc>
        <w:tc>
          <w:tcPr>
            <w:tcW w:type="dxa" w:w="1474"/>
            <w:shd w:val="clear" w:color="auto" w:fill="F2F5F9"/>
          </w:tcPr>
          <w:p>
            <w:r/>
            <w:r>
              <w:rPr>
                <w:sz w:val="17"/>
              </w:rPr>
              <w:t>−0,78%</w:t>
            </w:r>
          </w:p>
        </w:tc>
        <w:tc>
          <w:tcPr>
            <w:tcW w:type="dxa" w:w="1474"/>
            <w:shd w:val="clear" w:color="auto" w:fill="F2F5F9"/>
          </w:tcPr>
          <w:p>
            <w:r/>
            <w:r>
              <w:rPr>
                <w:sz w:val="17"/>
              </w:rPr>
              <w:t>−0,16%</w:t>
            </w:r>
          </w:p>
        </w:tc>
        <w:tc>
          <w:tcPr>
            <w:tcW w:type="dxa" w:w="1474"/>
            <w:shd w:val="clear" w:color="auto" w:fill="F2F5F9"/>
          </w:tcPr>
          <w:p>
            <w:r/>
            <w:r>
              <w:rPr>
                <w:sz w:val="17"/>
              </w:rPr>
              <w:t>−0,62 pp</w:t>
            </w:r>
          </w:p>
        </w:tc>
      </w:tr>
      <w:tr>
        <w:tc>
          <w:tcPr>
            <w:tcW w:type="dxa" w:w="1701"/>
          </w:tcPr>
          <w:p>
            <w:r/>
            <w:r>
              <w:rPr>
                <w:sz w:val="17"/>
              </w:rPr>
              <w:t>10 al 14-oct</w:t>
            </w:r>
          </w:p>
        </w:tc>
        <w:tc>
          <w:tcPr>
            <w:tcW w:type="dxa" w:w="1474"/>
          </w:tcPr>
          <w:p>
            <w:r/>
            <w:r>
              <w:rPr>
                <w:sz w:val="17"/>
              </w:rPr>
              <w:t>−0,28%</w:t>
            </w:r>
          </w:p>
        </w:tc>
        <w:tc>
          <w:tcPr>
            <w:tcW w:type="dxa" w:w="1474"/>
          </w:tcPr>
          <w:p>
            <w:r/>
            <w:r>
              <w:rPr>
                <w:sz w:val="17"/>
              </w:rPr>
              <w:t>−0,05%</w:t>
            </w:r>
          </w:p>
        </w:tc>
        <w:tc>
          <w:tcPr>
            <w:tcW w:type="dxa" w:w="1474"/>
          </w:tcPr>
          <w:p>
            <w:r/>
            <w:r>
              <w:rPr>
                <w:sz w:val="17"/>
              </w:rPr>
              <w:t>−1,05%</w:t>
            </w:r>
          </w:p>
        </w:tc>
        <w:tc>
          <w:tcPr>
            <w:tcW w:type="dxa" w:w="1474"/>
          </w:tcPr>
          <w:p>
            <w:r/>
            <w:r>
              <w:rPr>
                <w:sz w:val="17"/>
              </w:rPr>
              <w:t>−0,21%</w:t>
            </w:r>
          </w:p>
        </w:tc>
        <w:tc>
          <w:tcPr>
            <w:tcW w:type="dxa" w:w="1474"/>
          </w:tcPr>
          <w:p>
            <w:r/>
            <w:r>
              <w:rPr>
                <w:sz w:val="17"/>
              </w:rPr>
              <w:t>−0,84 pp</w:t>
            </w:r>
          </w:p>
        </w:tc>
      </w:tr>
    </w:tbl>
    <w:p>
      <w:r>
        <w:rPr>
          <w:i/>
          <w:sz w:val="16"/>
        </w:rPr>
        <w:t>Nexum: valor diario reconstruido con el historial de transacciones de StockTrak (incluye comisiones y dividendos) y precios de cierre; coincide con StockTrak al 6-oct (−1,15%). Al 14-oct da −1,05%; StockTrak informa −1,14% porque usa precios intradía del momento del export. Benchmark: benchmark de política (SPY, TLH, VCLT, QMOM, SPLV y DJP con los pesos aprobados sobre el 96% invertido, más 4% en T-Bills), retorno total. Base: cierre del 11-sep, la misma del dashboard del grupo. Fuente de precios: Yahoo Finance.</w:t>
      </w:r>
    </w:p>
    <w:p>
      <w:r>
        <w:rPr>
          <w:i w:val="0"/>
        </w:rPr>
        <w:t>Lectura. En las semanas de alza de las tasas largas y caída del petróleo (hasta el 2-oct) Nexum cayó más que el benchmark; en la recuperación del 3 al 9-oct subió lo mismo, sin recuperar la brecha. La diferencia acumulada de −0,84 puntos se explica por las comisiones (62 operaciones, USD 620, cerca de 0,4 puntos), la pérdida en USO y la caja sin invertir en Momentum y commodities. El peor punto de Nexum fue −2,2% el 30-sep, lejos del gatillo de revisión de −15% del IPS. En el mismo período la AGF 85/15 rindió +0,65% y el S&amp;P 500 +1,26%.</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Campbell, J. Y., Serfaty-de Medeiros, K. y Viceira, L. M. (2010). Global Currency Hedging. Journal of Finance, 65(1), 87-121.</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Froot, K. A. (1993). Currency Hedging over Long Horizons. NBER Working Paper 4355.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pPr>
        <w:ind w:left="340" w:hanging="340"/>
      </w:pPr>
      <w:r>
        <w:rPr>
          <w:sz w:val="17"/>
        </w:rPr>
        <w:t>Rogoff, K. (1996). The Purchasing Power Parity Puzzle. Journal of Economic Literature, 34(2), 647-668.</w:t>
      </w:r>
    </w:p>
    <w:p>
      <w:pPr>
        <w:ind w:left="340" w:hanging="340"/>
      </w:pPr>
      <w:r>
        <w:rPr>
          <w:sz w:val="17"/>
        </w:rPr>
        <w:t>Sharpe, W. F. y Tint, L. G. (1990). Liabilities: A New Approach. Journal of Portfolio Management, 16(2), 5-10.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¿Por qué solo un forward a un año, si las metas son de largo plazo? </w:t>
      </w:r>
      <w:r>
        <w:rPr>
          <w:i w:val="0"/>
        </w:rPr>
        <w:t>Porque se renueva al vencer cada contrato (roll-over) y la gestión debe hacerse con instrumentos de StockTrak, que están en USD. La cobertura es parcial a propósito: el dólar sube cuando caen las bolsas y la parte no cubierta amortigua las caídas en pesos. El riesgo cambiario está en la simulación (en UF la probabilidad de los tres objetivos es 45,3% frente a 46,5% en USD). A medida que se acerque cada pago en UF, la cobertura sube al 100% de ese monto, y para Educación recomendamos evaluar un swap CLF/USD en la próxima revisión del IPS.</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