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distingue dos dimensiones:</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Toleran hoy 85% en activos de riesgo (cartera AGF) y piden activamente commodities y alternativos</w:t>
            </w:r>
          </w:p>
        </w:tc>
        <w:tc>
          <w:tcPr>
            <w:tcW w:type="dxa" w:w="2835"/>
            <w:shd w:val="clear" w:color="auto" w:fill="F2F5F9"/>
          </w:tcPr>
          <w:p>
            <w:r/>
            <w:r>
              <w:rPr>
                <w:sz w:val="17"/>
              </w:rPr>
              <w:t>Moderada-agresiva;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El cliente acepta más riesgo que el inversionista promedio, coherente con su horizonte</w:t>
            </w:r>
          </w:p>
        </w:tc>
      </w:tr>
    </w:tbl>
    <w:p/>
    <w:p>
      <w:r>
        <w:rPr>
          <w:i/>
          <w:sz w:val="18"/>
        </w:rPr>
        <w:t>El cuestionario de tolerancia al riesgo (Grable y Lytton) se aplicará directamente a ambos clientes en la reunión de inicio; si su resultado difiere de este perfil, se revisará el IPS. No se usan respuestas simuladas.</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moderado-agresivo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