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USD 150.000 y 19 aportes de USD 10.000, la cartera debe rendir 4,56% real anual (TIR de los flujos del enunciado). Con supuestos más exigentes y fieles al caso —aportes en USD nominales, arancel creciendo 2% real, 14 años efectivos de aportes— el requerimiento sube a 5,6%.</w:t>
      </w:r>
    </w:p>
    <w:p>
      <w:pPr>
        <w:pStyle w:val="ListBullet"/>
      </w:pPr>
      <w:r>
        <w:rPr>
          <w:b/>
        </w:rPr>
        <w:t xml:space="preserve">Factibilidad. </w:t>
      </w:r>
      <w:r>
        <w:t>A la tasa real libre de riesgo (2,5%), los objetivos valen USD 492.981 y los recursos USD 299.789: cobertura de 0,61x.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prácticamente igual al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0,61 veces los objetivos: el plan es factible solo si la cartera captura prima por riesgo. Valorizados a la TIR, Villarrica representa 56% de la exigencia, Educación 24% y la herencia 20%.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igual al requerido de 4,56%.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moderado-agresivo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que apenas iguala al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5-oct-2026)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488</w:t>
            </w:r>
          </w:p>
        </w:tc>
        <w:tc>
          <w:tcPr>
            <w:tcW w:type="dxa" w:w="1020"/>
          </w:tcPr>
          <w:p>
            <w:r/>
            <w:r>
              <w:rPr>
                <w:sz w:val="15"/>
              </w:rPr>
              <w:t>0,56%</w:t>
            </w:r>
          </w:p>
        </w:tc>
        <w:tc>
          <w:tcPr>
            <w:tcW w:type="dxa" w:w="1814"/>
          </w:tcPr>
          <w:p>
            <w:r/>
            <w:r>
              <w:rPr>
                <w:sz w:val="15"/>
              </w:rPr>
              <w:t>S&amp;P 500 (SPY)</w:t>
            </w:r>
          </w:p>
        </w:tc>
        <w:tc>
          <w:tcPr>
            <w:tcW w:type="dxa" w:w="1020"/>
          </w:tcPr>
          <w:p>
            <w:r/>
            <w:r>
              <w:rPr>
                <w:sz w:val="15"/>
              </w:rPr>
              <w:t>2,49%</w:t>
            </w:r>
          </w:p>
        </w:tc>
        <w:tc>
          <w:tcPr>
            <w:tcW w:type="dxa" w:w="907"/>
          </w:tcPr>
          <w:p>
            <w:r/>
            <w:r>
              <w:rPr>
                <w:sz w:val="15"/>
              </w:rPr>
              <w:t>-1,93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-1.505</w:t>
            </w:r>
          </w:p>
        </w:tc>
        <w:tc>
          <w:tcPr>
            <w:tcW w:type="dxa" w:w="1020"/>
            <w:shd w:val="clear" w:color="auto" w:fill="F2F5F9"/>
          </w:tcPr>
          <w:p>
            <w:r/>
            <w:r>
              <w:rPr>
                <w:sz w:val="15"/>
              </w:rPr>
              <w:t>-3,33%</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-3,27%</w:t>
            </w:r>
          </w:p>
        </w:tc>
        <w:tc>
          <w:tcPr>
            <w:tcW w:type="dxa" w:w="907"/>
            <w:shd w:val="clear" w:color="auto" w:fill="F2F5F9"/>
          </w:tcPr>
          <w:p>
            <w:r/>
            <w:r>
              <w:rPr>
                <w:sz w:val="15"/>
              </w:rPr>
              <w:t>-0,06 pp</w:t>
            </w:r>
          </w:p>
        </w:tc>
      </w:tr>
      <w:tr>
        <w:tc>
          <w:tcPr>
            <w:tcW w:type="dxa" w:w="1928"/>
          </w:tcPr>
          <w:p>
            <w:r/>
            <w:r>
              <w:rPr>
                <w:sz w:val="15"/>
              </w:rPr>
              <w:t>Commodities</w:t>
            </w:r>
          </w:p>
        </w:tc>
        <w:tc>
          <w:tcPr>
            <w:tcW w:type="dxa" w:w="1361"/>
          </w:tcPr>
          <w:p>
            <w:r/>
            <w:r>
              <w:rPr>
                <w:sz w:val="15"/>
              </w:rPr>
              <w:t>USD 8.706</w:t>
            </w:r>
          </w:p>
        </w:tc>
        <w:tc>
          <w:tcPr>
            <w:tcW w:type="dxa" w:w="1134"/>
          </w:tcPr>
          <w:p>
            <w:r/>
            <w:r>
              <w:rPr>
                <w:sz w:val="15"/>
              </w:rPr>
              <w:t>-707</w:t>
            </w:r>
          </w:p>
        </w:tc>
        <w:tc>
          <w:tcPr>
            <w:tcW w:type="dxa" w:w="1020"/>
          </w:tcPr>
          <w:p>
            <w:r/>
            <w:r>
              <w:rPr>
                <w:sz w:val="15"/>
              </w:rPr>
              <w:t>-8,12%</w:t>
            </w:r>
          </w:p>
        </w:tc>
        <w:tc>
          <w:tcPr>
            <w:tcW w:type="dxa" w:w="1814"/>
          </w:tcPr>
          <w:p>
            <w:r/>
            <w:r>
              <w:rPr>
                <w:sz w:val="15"/>
              </w:rPr>
              <w:t>Mezcla de 5 ETF (DJP sin precios en vivo)</w:t>
            </w:r>
          </w:p>
        </w:tc>
        <w:tc>
          <w:tcPr>
            <w:tcW w:type="dxa" w:w="1020"/>
          </w:tcPr>
          <w:p>
            <w:r/>
            <w:r>
              <w:rPr>
                <w:sz w:val="15"/>
              </w:rPr>
              <w:t>-1,54%</w:t>
            </w:r>
          </w:p>
        </w:tc>
        <w:tc>
          <w:tcPr>
            <w:tcW w:type="dxa" w:w="907"/>
          </w:tcPr>
          <w:p>
            <w:r/>
            <w:r>
              <w:rPr>
                <w:sz w:val="15"/>
              </w:rPr>
              <w:t>-6,58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6</w:t>
            </w:r>
          </w:p>
        </w:tc>
        <w:tc>
          <w:tcPr>
            <w:tcW w:type="dxa" w:w="1020"/>
            <w:shd w:val="clear" w:color="auto" w:fill="F2F5F9"/>
          </w:tcPr>
          <w:p>
            <w:r/>
            <w:r>
              <w:rPr>
                <w:sz w:val="15"/>
              </w:rPr>
              <w:t>0,09%</w:t>
            </w:r>
          </w:p>
        </w:tc>
        <w:tc>
          <w:tcPr>
            <w:tcW w:type="dxa" w:w="1814"/>
            <w:shd w:val="clear" w:color="auto" w:fill="F2F5F9"/>
          </w:tcPr>
          <w:p>
            <w:r/>
            <w:r>
              <w:rPr>
                <w:sz w:val="15"/>
              </w:rPr>
              <w:t>T-Bills 0-3 meses (SGOV)</w:t>
            </w:r>
          </w:p>
        </w:tc>
        <w:tc>
          <w:tcPr>
            <w:tcW w:type="dxa" w:w="1020"/>
            <w:shd w:val="clear" w:color="auto" w:fill="F2F5F9"/>
          </w:tcPr>
          <w:p>
            <w:r/>
            <w:r>
              <w:rPr>
                <w:sz w:val="15"/>
              </w:rPr>
              <w:t>0,23%</w:t>
            </w:r>
          </w:p>
        </w:tc>
        <w:tc>
          <w:tcPr>
            <w:tcW w:type="dxa" w:w="907"/>
            <w:shd w:val="clear" w:color="auto" w:fill="F2F5F9"/>
          </w:tcPr>
          <w:p>
            <w:r/>
            <w:r>
              <w:rPr>
                <w:sz w:val="15"/>
              </w:rPr>
              <w:t>-0,14 pp</w:t>
            </w:r>
          </w:p>
        </w:tc>
      </w:tr>
    </w:tbl>
    <w:p>
      <w:r>
        <w:rPr>
          <w:i/>
          <w:sz w:val="16"/>
        </w:rPr>
        <w:t>Desde el 14-sep hasta el 6-oct (exports de StockTrak).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1,9 puntos bajo el S&amp;P 500, en parte por las comisiones (48 operaciones, USD 480) y en parte por el sesgo defensivo de Low-Volatility en un mercado al alza; commodities queda 6,6 puntos bajo su benchmark por la pérdida en USO, ya liquidado.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apenas iguala al requerido (4,56%).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