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3A5F"/>
          <w:sz w:val="44"/>
        </w:rPr>
        <w:t>Nexum Financial Advisors</w:t>
      </w:r>
    </w:p>
    <w:p>
      <w:pPr>
        <w:jc w:val="center"/>
      </w:pPr>
      <w:r>
        <w:rPr>
          <w:i w:val="0"/>
          <w:sz w:val="28"/>
        </w:rPr>
        <w:t>Investment Policy Statement e Informe de Estrategia de Inversión</w:t>
      </w:r>
    </w:p>
    <w:p>
      <w:pPr>
        <w:jc w:val="center"/>
      </w:pPr>
      <w:r>
        <w:rPr>
          <w:i w:val="0"/>
        </w:rPr>
        <w:t>Familia Allende Cunich · Mandato USD 150.000 + aportes anuales</w:t>
      </w:r>
    </w:p>
    <w:p>
      <w:pPr>
        <w:jc w:val="center"/>
      </w:pPr>
      <w:r>
        <w:rPr>
          <w:i/>
        </w:rPr>
        <w:t>Grupo 11 — M. José Iannello, Martín Lillo, Francisca Morales, Vicente Salah, Matías Torres</w:t>
      </w:r>
    </w:p>
    <w:p>
      <w:pPr>
        <w:jc w:val="center"/>
      </w:pPr>
      <w:r>
        <w:rPr>
          <w:i/>
          <w:sz w:val="18"/>
        </w:rPr>
        <w:t>ESF 2026-2 · Universidad Adolfo Ibáñez · Datos de mercado al 31-ago-2026; implementación al 5-oct-2026</w:t>
      </w:r>
    </w:p>
    <w:p>
      <w:pPr>
        <w:jc w:val="center"/>
      </w:pPr>
      <w:r>
        <w:rPr>
          <w:i/>
          <w:sz w:val="17"/>
        </w:rPr>
        <w:t>Todas las cifras de este documento son reproducibles con codigo/run_all.py y coinciden con modelo/Modelo_Nexum_v2.xlsx.</w:t>
      </w:r>
    </w:p>
    <w:p>
      <w:r>
        <w:br w:type="page"/>
      </w:r>
    </w:p>
    <w:p>
      <w:pPr>
        <w:pStyle w:val="Heading1"/>
      </w:pPr>
      <w:r>
        <w:t>1. Resumen ejecutivo</w:t>
      </w:r>
    </w:p>
    <w:p>
      <w:r>
        <w:rPr>
          <w:b/>
        </w:rPr>
        <w:t xml:space="preserve">La pregunta del cliente: </w:t>
      </w:r>
      <w:r>
        <w:rPr>
          <w:i w:val="0"/>
        </w:rPr>
        <w:t xml:space="preserve">¿Se cumplen los objetivos de la familia y con qué riesgo? </w:t>
      </w:r>
    </w:p>
    <w:p>
      <w:pPr>
        <w:pStyle w:val="ListBullet"/>
      </w:pPr>
      <w:r>
        <w:rPr>
          <w:b/>
        </w:rPr>
        <w:t xml:space="preserve">Retorno requerido. </w:t>
      </w:r>
      <w:r>
        <w:t>Para financiar Educación, Villarrica y la herencia con los USD 144.000 invertidos (USD 150.000 menos la reserva de 4%, que no financia metas) y 19 aportes de USD 10.000, la cartera debe rendir 4,65% real anual (TIR de los flujos del enunciado). Con supuestos más exigentes y fieles al caso —aportes en USD nominales, arancel creciendo 2% real, 14 años efectivos de aportes— el requerimiento sube a 5,7%.</w:t>
      </w:r>
    </w:p>
    <w:p>
      <w:pPr>
        <w:pStyle w:val="ListBullet"/>
      </w:pPr>
      <w:r>
        <w:rPr>
          <w:b/>
        </w:rPr>
        <w:t xml:space="preserve">Factibilidad. </w:t>
      </w:r>
      <w:r>
        <w:t>A la tasa real libre de riesgo (2,5%), los objetivos valen USD 492.981 y los recursos USD 293.789: cobertura de 0,60x. El plan exige capturar prima por riesgo. Villarrica explica 56% del valor presente de los objetivos.</w:t>
      </w:r>
    </w:p>
    <w:p>
      <w:pPr>
        <w:pStyle w:val="ListBullet"/>
      </w:pPr>
      <w:r>
        <w:rPr>
          <w:b/>
        </w:rPr>
        <w:t xml:space="preserve">Asignación. </w:t>
      </w:r>
      <w:r>
        <w:t>Núcleo pasivo 69,4% (S&amp;P 500 37,9%, Tesoro 10-20 años 16,9%, corporativos largos 14,6%) y satélite activo 30,6% (Low-Volatility 17,5%, Momentum en acciones 7,1%, Momentum en commodities 6,1%), obtenido con Black-Litterman. Renta variable efectiva 62%.</w:t>
      </w:r>
    </w:p>
    <w:p>
      <w:pPr>
        <w:pStyle w:val="ListBullet"/>
      </w:pPr>
      <w:r>
        <w:rPr>
          <w:b/>
        </w:rPr>
        <w:t xml:space="preserve">Probabilidad de éxito. </w:t>
      </w:r>
      <w:r>
        <w:t>Educación se cumple en ~100% de los escenarios simulados, en USD y en UF. Con retornos históricos 2013-2026, los tres objetivos se cumplen con 96,0% (89,6% medido en UF). Con supuestos prospectivos prudentes —retorno real esperado 4,6%, levemente bajo el requerido— la probabilidad conjunta es 46,5%.</w:t>
      </w:r>
    </w:p>
    <w:p>
      <w:pPr>
        <w:pStyle w:val="ListBullet"/>
      </w:pPr>
      <w:r>
        <w:rPr>
          <w:b/>
        </w:rPr>
        <w:t xml:space="preserve">Frente a la cartera actual de la AGF (85/15). </w:t>
      </w:r>
      <w:r>
        <w:t>La AGF rindió más en 2016-2026 (12,7% vs 9,9% anual) por su 76,5% en el S&amp;P 500, con mayor volatilidad, caídas más profundas y ~26% de exposición a tecnología (el mismo riesgo del empleo de Tomás; Nexum ~14%). Hacia adelante, Nexum entrega mayor probabilidad de éxito (45,3% vs 38,4% en UF).</w:t>
      </w:r>
    </w:p>
    <w:p>
      <w:pPr>
        <w:pStyle w:val="ListBullet"/>
      </w:pPr>
      <w:r>
        <w:rPr>
          <w:b/>
        </w:rPr>
        <w:t xml:space="preserve">Gestión activa. </w:t>
      </w:r>
      <w:r>
        <w:t>Tracking error ex-ante 2,1% (objetivo 3%, máximo 4%) e information ratio 0,27 frente al benchmark de política en 2016-2026.</w:t>
      </w:r>
    </w:p>
    <w:p>
      <w:pPr>
        <w:pStyle w:val="ListBullet"/>
      </w:pPr>
      <w:r>
        <w:rPr>
          <w:b/>
        </w:rPr>
        <w:t xml:space="preserve">Riesgo cambiario. </w:t>
      </w:r>
      <w:r>
        <w:t>El 28-sep-2026 se contrató un forward de venta de USD 104.000 a un año (~70% de la cartera), cerca de la cobertura que minimiza el riesgo medido en pesos: en la simulación, la volatilidad anual en pesos baja de 13,9% a 10,3%.</w:t>
      </w:r>
    </w:p>
    <w:p>
      <w:pPr>
        <w:pStyle w:val="ListBullet"/>
      </w:pPr>
      <w:r>
        <w:rPr>
          <w:b/>
        </w:rPr>
        <w:t xml:space="preserve">Recomendación. </w:t>
      </w:r>
      <w:r>
        <w:t>Mantener la asignación, proteger Educación como prioridad 1 y acordar con la familia el orden de ajuste si el mercado no entrega el retorno requerido: primero la herencia, luego Villarrica, nunca Educación. Reducir Villarrica 25% y la herencia a USD 250.000 eleva la probabilidad conjunta prospectiva de 46,5% a 74,8%.</w:t>
      </w:r>
    </w:p>
    <w:p>
      <w:r>
        <w:br w:type="page"/>
      </w:r>
    </w:p>
    <w:p>
      <w:pPr>
        <w:pStyle w:val="Heading1"/>
      </w:pPr>
      <w:r>
        <w:t>2. Investment Policy Statement</w:t>
      </w:r>
    </w:p>
    <w:p>
      <w:pPr>
        <w:pStyle w:val="Heading2"/>
      </w:pPr>
      <w:r>
        <w:t>2.1 Propósito y alcance</w:t>
      </w:r>
    </w:p>
    <w:p>
      <w:r>
        <w:rPr>
          <w:i w:val="0"/>
        </w:rPr>
        <w:t>Este IPS es el acuerdo entre Nexum Financial Advisors (el Asesor) y María Ignacia Cunich y Tomás Allende (el Cliente) para administrar USD 150.000 hoy invertidos en fondos mutuos de una AGF chilena, más aportes de USD 10.000 cada abril hasta que Tomás cumpla 65 años. Define objetivos, restricciones, asignación de activos, reglas de selección y rebalanceo, métricas de evaluación y la política de revisión. Toda decisión de inversión se toma dentro de este marco.</w:t>
      </w:r>
    </w:p>
    <w:p>
      <w:pPr>
        <w:pStyle w:val="Heading2"/>
      </w:pPr>
      <w:r>
        <w:t>2.2 Deberes y responsabilidades</w:t>
      </w:r>
    </w:p>
    <w:p>
      <w:r>
        <w:rPr>
          <w:i w:val="0"/>
        </w:rPr>
        <w:t>El Asesor actúa como fiduciario, bajo el Código de Ética y los Estándares de Conducta Profesional del CFA Institute y la normativa de la CMF. Sus responsabilidades: recomendar una asignación coherente con el perfil, seleccionar los instrumentos, ejecutar y rebalancear, monitorear el desempeño contra el benchmark e informar al Cliente. El Cliente debe informar oportunamente cualquier cambio material (empleo, patrimonio, objetivos), lo que gatilla la revisión de este IPS.</w:t>
      </w:r>
    </w:p>
    <w:tbl>
      <w:tblPr>
        <w:tblStyle w:val="TableGrid"/>
        <w:tblW w:type="auto" w:w="0"/>
        <w:jc w:val="center"/>
        <w:tblLook w:firstColumn="1" w:firstRow="1" w:lastColumn="0" w:lastRow="0" w:noHBand="0" w:noVBand="1" w:val="04A0"/>
      </w:tblPr>
      <w:tblGrid>
        <w:gridCol w:w="4816"/>
        <w:gridCol w:w="4816"/>
      </w:tblGrid>
      <w:tr>
        <w:tc>
          <w:tcPr>
            <w:tcW w:type="dxa" w:w="6520"/>
            <w:shd w:val="clear" w:color="auto" w:fill="1F3A5F"/>
          </w:tcPr>
          <w:p>
            <w:r/>
            <w:r>
              <w:rPr>
                <w:b/>
                <w:color w:val="FFFFFF"/>
                <w:sz w:val="17"/>
              </w:rPr>
              <w:t>Control de cumplimiento (CMF / Ley 19.913)</w:t>
            </w:r>
          </w:p>
        </w:tc>
        <w:tc>
          <w:tcPr>
            <w:tcW w:type="dxa" w:w="2551"/>
            <w:shd w:val="clear" w:color="auto" w:fill="1F3A5F"/>
          </w:tcPr>
          <w:p>
            <w:r/>
            <w:r>
              <w:rPr>
                <w:b/>
                <w:color w:val="FFFFFF"/>
                <w:sz w:val="17"/>
              </w:rPr>
              <w:t>Meta medible</w:t>
            </w:r>
          </w:p>
        </w:tc>
      </w:tr>
      <w:tr>
        <w:tc>
          <w:tcPr>
            <w:tcW w:type="dxa" w:w="6520"/>
          </w:tcPr>
          <w:p>
            <w:r/>
            <w:r>
              <w:rPr>
                <w:sz w:val="17"/>
              </w:rPr>
              <w:t>Conozca a su cliente: identidad, condición de Persona Expuesta Políticamente y perfil transaccional</w:t>
            </w:r>
          </w:p>
        </w:tc>
        <w:tc>
          <w:tcPr>
            <w:tcW w:type="dxa" w:w="2551"/>
          </w:tcPr>
          <w:p>
            <w:r/>
            <w:r>
              <w:rPr>
                <w:sz w:val="17"/>
              </w:rPr>
              <w:t>100% antes de operar</w:t>
            </w:r>
          </w:p>
        </w:tc>
      </w:tr>
      <w:tr>
        <w:tc>
          <w:tcPr>
            <w:tcW w:type="dxa" w:w="6520"/>
            <w:shd w:val="clear" w:color="auto" w:fill="F2F5F9"/>
          </w:tcPr>
          <w:p>
            <w:r/>
            <w:r>
              <w:rPr>
                <w:sz w:val="17"/>
              </w:rPr>
              <w:t>Origen de fondos: acreditar que los USD 150.000 provienen de ahorro laboral en una AGF regulada; documentar cada aporte anual</w:t>
            </w:r>
          </w:p>
        </w:tc>
        <w:tc>
          <w:tcPr>
            <w:tcW w:type="dxa" w:w="2551"/>
            <w:shd w:val="clear" w:color="auto" w:fill="F2F5F9"/>
          </w:tcPr>
          <w:p>
            <w:r/>
            <w:r>
              <w:rPr>
                <w:sz w:val="17"/>
              </w:rPr>
              <w:t>100% de los aportes</w:t>
            </w:r>
          </w:p>
        </w:tc>
      </w:tr>
      <w:tr>
        <w:tc>
          <w:tcPr>
            <w:tcW w:type="dxa" w:w="6520"/>
          </w:tcPr>
          <w:p>
            <w:r/>
            <w:r>
              <w:rPr>
                <w:sz w:val="17"/>
              </w:rPr>
              <w:t>Monitoreo de operaciones inusuales respecto del perfil (montos o movimientos no explicados)</w:t>
            </w:r>
          </w:p>
        </w:tc>
        <w:tc>
          <w:tcPr>
            <w:tcW w:type="dxa" w:w="2551"/>
          </w:tcPr>
          <w:p>
            <w:r/>
            <w:r>
              <w:rPr>
                <w:sz w:val="17"/>
              </w:rPr>
              <w:t>Revisión mensual</w:t>
            </w:r>
          </w:p>
        </w:tc>
      </w:tr>
      <w:tr>
        <w:tc>
          <w:tcPr>
            <w:tcW w:type="dxa" w:w="6520"/>
            <w:shd w:val="clear" w:color="auto" w:fill="F2F5F9"/>
          </w:tcPr>
          <w:p>
            <w:r/>
            <w:r>
              <w:rPr>
                <w:sz w:val="17"/>
              </w:rPr>
              <w:t>Reporte de Operación Sospechosa a la UAF, con deber de reserva</w:t>
            </w:r>
          </w:p>
        </w:tc>
        <w:tc>
          <w:tcPr>
            <w:tcW w:type="dxa" w:w="2551"/>
            <w:shd w:val="clear" w:color="auto" w:fill="F2F5F9"/>
          </w:tcPr>
          <w:p>
            <w:r/>
            <w:r>
              <w:rPr>
                <w:sz w:val="17"/>
              </w:rPr>
              <w:t>Dentro de 48 horas desde la detección</w:t>
            </w:r>
          </w:p>
        </w:tc>
      </w:tr>
      <w:tr>
        <w:tc>
          <w:tcPr>
            <w:tcW w:type="dxa" w:w="6520"/>
          </w:tcPr>
          <w:p>
            <w:r/>
            <w:r>
              <w:rPr>
                <w:sz w:val="17"/>
              </w:rPr>
              <w:t>Actualización del perfil e idoneidad de los instrumentos</w:t>
            </w:r>
          </w:p>
        </w:tc>
        <w:tc>
          <w:tcPr>
            <w:tcW w:type="dxa" w:w="2551"/>
          </w:tcPr>
          <w:p>
            <w:r/>
            <w:r>
              <w:rPr>
                <w:sz w:val="17"/>
              </w:rPr>
              <w:t>Anual o ante un cambio material</w:t>
            </w:r>
          </w:p>
        </w:tc>
      </w:tr>
      <w:tr>
        <w:tc>
          <w:tcPr>
            <w:tcW w:type="dxa" w:w="6520"/>
            <w:shd w:val="clear" w:color="auto" w:fill="F2F5F9"/>
          </w:tcPr>
          <w:p>
            <w:r/>
            <w:r>
              <w:rPr>
                <w:sz w:val="17"/>
              </w:rPr>
              <w:t>Conservación de registros</w:t>
            </w:r>
          </w:p>
        </w:tc>
        <w:tc>
          <w:tcPr>
            <w:tcW w:type="dxa" w:w="2551"/>
            <w:shd w:val="clear" w:color="auto" w:fill="F2F5F9"/>
          </w:tcPr>
          <w:p>
            <w:r/>
            <w:r>
              <w:rPr>
                <w:sz w:val="17"/>
              </w:rPr>
              <w:t>Mínimo 5 años</w:t>
            </w:r>
          </w:p>
        </w:tc>
      </w:tr>
    </w:tbl>
    <w:p/>
    <w:p>
      <w:pPr>
        <w:pStyle w:val="Heading2"/>
      </w:pPr>
      <w:r>
        <w:t>2.3 Perfil del inversionista</w:t>
      </w:r>
    </w:p>
    <w:p>
      <w:r>
        <w:rPr>
          <w:i w:val="0"/>
        </w:rPr>
        <w:t>María Ignacia (40 años, abogada en consumo masivo) y Tomás (46, ingeniero en software) tienen dos hijos (Vicente, 4; Emilia, 2), ingresos estables y educación financiera media, sin experiencia en derivados ni criptoactivos. El perfil separa lo que pueden asumir (capacidad) de lo que quieren asumir (disposición) y considera además su capital humano y la aversión al riesgo implícita:</w:t>
      </w:r>
    </w:p>
    <w:tbl>
      <w:tblPr>
        <w:tblStyle w:val="TableGrid"/>
        <w:tblW w:type="auto" w:w="0"/>
        <w:jc w:val="center"/>
        <w:tblLook w:firstColumn="1" w:firstRow="1" w:lastColumn="0" w:lastRow="0" w:noHBand="0" w:noVBand="1" w:val="04A0"/>
      </w:tblPr>
      <w:tblGrid>
        <w:gridCol w:w="3211"/>
        <w:gridCol w:w="3211"/>
        <w:gridCol w:w="3211"/>
      </w:tblGrid>
      <w:tr>
        <w:tc>
          <w:tcPr>
            <w:tcW w:type="dxa" w:w="1928"/>
            <w:shd w:val="clear" w:color="auto" w:fill="1F3A5F"/>
          </w:tcPr>
          <w:p>
            <w:r/>
            <w:r>
              <w:rPr>
                <w:b/>
                <w:color w:val="FFFFFF"/>
                <w:sz w:val="17"/>
              </w:rPr>
              <w:t>Dimensión</w:t>
            </w:r>
          </w:p>
        </w:tc>
        <w:tc>
          <w:tcPr>
            <w:tcW w:type="dxa" w:w="4309"/>
            <w:shd w:val="clear" w:color="auto" w:fill="1F3A5F"/>
          </w:tcPr>
          <w:p>
            <w:r/>
            <w:r>
              <w:rPr>
                <w:b/>
                <w:color w:val="FFFFFF"/>
                <w:sz w:val="17"/>
              </w:rPr>
              <w:t>Evidencia</w:t>
            </w:r>
          </w:p>
        </w:tc>
        <w:tc>
          <w:tcPr>
            <w:tcW w:type="dxa" w:w="2835"/>
            <w:shd w:val="clear" w:color="auto" w:fill="1F3A5F"/>
          </w:tcPr>
          <w:p>
            <w:r/>
            <w:r>
              <w:rPr>
                <w:b/>
                <w:color w:val="FFFFFF"/>
                <w:sz w:val="17"/>
              </w:rPr>
              <w:t>Conclusión</w:t>
            </w:r>
          </w:p>
        </w:tc>
      </w:tr>
      <w:tr>
        <w:tc>
          <w:tcPr>
            <w:tcW w:type="dxa" w:w="1928"/>
          </w:tcPr>
          <w:p>
            <w:r/>
            <w:r>
              <w:rPr>
                <w:sz w:val="17"/>
              </w:rPr>
              <w:t>Capacidad de riesgo (objetiva)</w:t>
            </w:r>
          </w:p>
        </w:tc>
        <w:tc>
          <w:tcPr>
            <w:tcW w:type="dxa" w:w="4309"/>
          </w:tcPr>
          <w:p>
            <w:r/>
            <w:r>
              <w:rPr>
                <w:sz w:val="17"/>
              </w:rPr>
              <w:t>Capital USD 150.000 + valor presente de los aportes (~USD 150.000 a 2,5% real); sin necesidades de liquidez hasta el año 14; horizonte hasta 50 años</w:t>
            </w:r>
          </w:p>
        </w:tc>
        <w:tc>
          <w:tcPr>
            <w:tcW w:type="dxa" w:w="2835"/>
          </w:tcPr>
          <w:p>
            <w:r/>
            <w:r>
              <w:rPr>
                <w:sz w:val="17"/>
              </w:rPr>
              <w:t>Alta en el largo plazo; decreciente frente a Educación (años 14-20)</w:t>
            </w:r>
          </w:p>
        </w:tc>
      </w:tr>
      <w:tr>
        <w:tc>
          <w:tcPr>
            <w:tcW w:type="dxa" w:w="1928"/>
            <w:shd w:val="clear" w:color="auto" w:fill="F2F5F9"/>
          </w:tcPr>
          <w:p>
            <w:r/>
            <w:r>
              <w:rPr>
                <w:sz w:val="17"/>
              </w:rPr>
              <w:t>Disposición al riesgo (conductual)</w:t>
            </w:r>
          </w:p>
        </w:tc>
        <w:tc>
          <w:tcPr>
            <w:tcW w:type="dxa" w:w="4309"/>
            <w:shd w:val="clear" w:color="auto" w:fill="F2F5F9"/>
          </w:tcPr>
          <w:p>
            <w:r/>
            <w:r>
              <w:rPr>
                <w:sz w:val="17"/>
              </w:rPr>
              <w:t>Cuestionario de Grable y Lytton (1999): 30 de 47 puntos. Aceptan riesgo después de informarse y asocian riesgo con oportunidad, pero prefieren una ganancia segura frente a una apuesta y se declaran solo algo cómodos invirtiendo en acciones. Hoy tienen 85% en activos de riesgo en la AGF y piden commodities y alternativos</w:t>
            </w:r>
          </w:p>
        </w:tc>
        <w:tc>
          <w:tcPr>
            <w:tcW w:type="dxa" w:w="2835"/>
            <w:shd w:val="clear" w:color="auto" w:fill="F2F5F9"/>
          </w:tcPr>
          <w:p>
            <w:r/>
            <w:r>
              <w:rPr>
                <w:sz w:val="17"/>
              </w:rPr>
              <w:t>Moderada: toman riesgo para crecer, sin especular; renta variable de 60-65%</w:t>
            </w:r>
          </w:p>
        </w:tc>
      </w:tr>
      <w:tr>
        <w:tc>
          <w:tcPr>
            <w:tcW w:type="dxa" w:w="1928"/>
          </w:tcPr>
          <w:p>
            <w:r/>
            <w:r>
              <w:rPr>
                <w:sz w:val="17"/>
              </w:rPr>
              <w:t>Capital humano</w:t>
            </w:r>
          </w:p>
        </w:tc>
        <w:tc>
          <w:tcPr>
            <w:tcW w:type="dxa" w:w="4309"/>
          </w:tcPr>
          <w:p>
            <w:r/>
            <w:r>
              <w:rPr>
                <w:sz w:val="17"/>
              </w:rPr>
              <w:t>El ingreso de Tomás depende del sector software (se comporta como una acción tecnológica); el de María Ignacia, de consumo masivo (como un bono)</w:t>
            </w:r>
          </w:p>
        </w:tc>
        <w:tc>
          <w:tcPr>
            <w:tcW w:type="dxa" w:w="2835"/>
          </w:tcPr>
          <w:p>
            <w:r/>
            <w:r>
              <w:rPr>
                <w:sz w:val="17"/>
              </w:rPr>
              <w:t>Limitar tecnología: ~14% en Nexum vs ~26% en la AGF</w:t>
            </w:r>
          </w:p>
        </w:tc>
      </w:tr>
      <w:tr>
        <w:tc>
          <w:tcPr>
            <w:tcW w:type="dxa" w:w="1928"/>
            <w:shd w:val="clear" w:color="auto" w:fill="F2F5F9"/>
          </w:tcPr>
          <w:p>
            <w:r/>
            <w:r>
              <w:rPr>
                <w:sz w:val="17"/>
              </w:rPr>
              <w:t>Aversión al riesgo (A)</w:t>
            </w:r>
          </w:p>
        </w:tc>
        <w:tc>
          <w:tcPr>
            <w:tcW w:type="dxa" w:w="4309"/>
            <w:shd w:val="clear" w:color="auto" w:fill="F2F5F9"/>
          </w:tcPr>
          <w:p>
            <w:r/>
            <w:r>
              <w:rPr>
                <w:sz w:val="17"/>
              </w:rPr>
              <w:t>A del inversionista de mercado (S&amp;P 500, 2013-2026) = 6,7; A implícito en la cartera recomendada = 3,3; δ de Black-Litterman = 2,5</w:t>
            </w:r>
          </w:p>
        </w:tc>
        <w:tc>
          <w:tcPr>
            <w:tcW w:type="dxa" w:w="2835"/>
            <w:shd w:val="clear" w:color="auto" w:fill="F2F5F9"/>
          </w:tcPr>
          <w:p>
            <w:r/>
            <w:r>
              <w:rPr>
                <w:sz w:val="17"/>
              </w:rPr>
              <w:t>La cartera pide algo más de riesgo que el promedio del mercado; lo acotan los límites de volatilidad (10-12%) y de caída (25%)</w:t>
            </w:r>
          </w:p>
        </w:tc>
      </w:tr>
    </w:tbl>
    <w:p/>
    <w:p>
      <w:r>
        <w:rPr>
          <w:i w:val="0"/>
        </w:rPr>
        <w:t>Conclusión: perfil moderado, el mismo del IPS de la Parte I. La capacidad es alta en el largo plazo, pero la acota Educación, un objetivo rígido que empieza en el año 14; la disposición es moderada. El perfil se traduce en 60-65% de renta variable, cerca de 30% de renta fija larga, volatilidad anual de 10-12% y una caída máxima tolerada de 25%.</w:t>
      </w:r>
    </w:p>
    <w:p>
      <w:r>
        <w:rPr>
          <w:i/>
          <w:sz w:val="18"/>
        </w:rPr>
        <w:t>El cuestionario de Grable y Lytton (13 preguntas, de 13 a 47 puntos) se respondió con inteligencia artificial a partir del perfil del enunciado, con autorización del profesor, porque los clientes son ficticios. El resultado se contrastó con el simulador de perfil de Banchile Inversiones, que también entrega perfil moderado y recomienda hasta 60% en renta variable; la cartera tiene 62%, en el borde de ese rango. Con 30 puntos, el puntaje queda en el límite superior de la tolerancia media; como Educación limita la capacidad y los clientes no tienen experiencia en derivados, el perfil final es moderado. Las respuestas están en el Anexo D.</w:t>
      </w:r>
    </w:p>
    <w:p>
      <w:pPr>
        <w:pStyle w:val="Heading2"/>
      </w:pPr>
      <w:r>
        <w:t>2.4 Objetivos, prioridad y horizontes</w:t>
      </w:r>
    </w:p>
    <w:tbl>
      <w:tblPr>
        <w:tblStyle w:val="TableGrid"/>
        <w:tblW w:type="auto" w:w="0"/>
        <w:jc w:val="center"/>
        <w:tblLook w:firstColumn="1" w:firstRow="1" w:lastColumn="0" w:lastRow="0" w:noHBand="0" w:noVBand="1" w:val="04A0"/>
      </w:tblPr>
      <w:tblGrid>
        <w:gridCol w:w="1605"/>
        <w:gridCol w:w="1605"/>
        <w:gridCol w:w="1605"/>
        <w:gridCol w:w="1605"/>
        <w:gridCol w:w="1605"/>
        <w:gridCol w:w="1605"/>
      </w:tblGrid>
      <w:tr>
        <w:tc>
          <w:tcPr>
            <w:tcW w:type="dxa" w:w="850"/>
            <w:shd w:val="clear" w:color="auto" w:fill="1F3A5F"/>
          </w:tcPr>
          <w:p>
            <w:r/>
            <w:r>
              <w:rPr>
                <w:b/>
                <w:color w:val="FFFFFF"/>
                <w:sz w:val="17"/>
              </w:rPr>
              <w:t>Prioridad</w:t>
            </w:r>
          </w:p>
        </w:tc>
        <w:tc>
          <w:tcPr>
            <w:tcW w:type="dxa" w:w="3628"/>
            <w:shd w:val="clear" w:color="auto" w:fill="1F3A5F"/>
          </w:tcPr>
          <w:p>
            <w:r/>
            <w:r>
              <w:rPr>
                <w:b/>
                <w:color w:val="FFFFFF"/>
                <w:sz w:val="17"/>
              </w:rPr>
              <w:t>Objetivo (moneda del cliente)</w:t>
            </w:r>
          </w:p>
        </w:tc>
        <w:tc>
          <w:tcPr>
            <w:tcW w:type="dxa" w:w="1077"/>
            <w:shd w:val="clear" w:color="auto" w:fill="1F3A5F"/>
          </w:tcPr>
          <w:p>
            <w:r/>
            <w:r>
              <w:rPr>
                <w:b/>
                <w:color w:val="FFFFFF"/>
                <w:sz w:val="17"/>
              </w:rPr>
              <w:t>Años</w:t>
            </w:r>
          </w:p>
        </w:tc>
        <w:tc>
          <w:tcPr>
            <w:tcW w:type="dxa" w:w="907"/>
            <w:shd w:val="clear" w:color="auto" w:fill="1F3A5F"/>
          </w:tcPr>
          <w:p>
            <w:r/>
            <w:r>
              <w:rPr>
                <w:b/>
                <w:color w:val="FFFFFF"/>
                <w:sz w:val="17"/>
              </w:rPr>
              <w:t>UF</w:t>
            </w:r>
          </w:p>
        </w:tc>
        <w:tc>
          <w:tcPr>
            <w:tcW w:type="dxa" w:w="1077"/>
            <w:shd w:val="clear" w:color="auto" w:fill="1F3A5F"/>
          </w:tcPr>
          <w:p>
            <w:r/>
            <w:r>
              <w:rPr>
                <w:b/>
                <w:color w:val="FFFFFF"/>
                <w:sz w:val="17"/>
              </w:rPr>
              <w:t>USD reales</w:t>
            </w:r>
          </w:p>
        </w:tc>
        <w:tc>
          <w:tcPr>
            <w:tcW w:type="dxa" w:w="1531"/>
            <w:shd w:val="clear" w:color="auto" w:fill="1F3A5F"/>
          </w:tcPr>
          <w:p>
            <w:r/>
            <w:r>
              <w:rPr>
                <w:b/>
                <w:color w:val="FFFFFF"/>
                <w:sz w:val="17"/>
              </w:rPr>
              <w:t>Flexibilidad</w:t>
            </w:r>
          </w:p>
        </w:tc>
      </w:tr>
      <w:tr>
        <w:tc>
          <w:tcPr>
            <w:tcW w:type="dxa" w:w="850"/>
          </w:tcPr>
          <w:p>
            <w:r/>
            <w:r>
              <w:rPr>
                <w:sz w:val="17"/>
              </w:rPr>
              <w:t>1</w:t>
            </w:r>
          </w:p>
        </w:tc>
        <w:tc>
          <w:tcPr>
            <w:tcW w:type="dxa" w:w="3628"/>
          </w:tcPr>
          <w:p>
            <w:r/>
            <w:r>
              <w:rPr>
                <w:sz w:val="17"/>
              </w:rPr>
              <w:t>Educación: CLP 65 millones por hijo, en 5 pagos anuales</w:t>
            </w:r>
          </w:p>
        </w:tc>
        <w:tc>
          <w:tcPr>
            <w:tcW w:type="dxa" w:w="1077"/>
          </w:tcPr>
          <w:p>
            <w:r/>
            <w:r>
              <w:rPr>
                <w:sz w:val="17"/>
              </w:rPr>
              <w:t>14-18 y 16-20</w:t>
            </w:r>
          </w:p>
        </w:tc>
        <w:tc>
          <w:tcPr>
            <w:tcW w:type="dxa" w:w="907"/>
          </w:tcPr>
          <w:p>
            <w:r/>
            <w:r>
              <w:rPr>
                <w:sz w:val="17"/>
              </w:rPr>
              <w:t>3.183</w:t>
            </w:r>
          </w:p>
        </w:tc>
        <w:tc>
          <w:tcPr>
            <w:tcW w:type="dxa" w:w="1077"/>
          </w:tcPr>
          <w:p>
            <w:r/>
            <w:r>
              <w:rPr>
                <w:sz w:val="17"/>
              </w:rPr>
              <w:t>142.580</w:t>
            </w:r>
          </w:p>
        </w:tc>
        <w:tc>
          <w:tcPr>
            <w:tcW w:type="dxa" w:w="1531"/>
          </w:tcPr>
          <w:p>
            <w:r/>
            <w:r>
              <w:rPr>
                <w:sz w:val="17"/>
              </w:rPr>
              <w:t>Rígida, no diferible</w:t>
            </w:r>
          </w:p>
        </w:tc>
      </w:tr>
      <w:tr>
        <w:tc>
          <w:tcPr>
            <w:tcW w:type="dxa" w:w="850"/>
            <w:shd w:val="clear" w:color="auto" w:fill="F2F5F9"/>
          </w:tcPr>
          <w:p>
            <w:r/>
            <w:r>
              <w:rPr>
                <w:sz w:val="17"/>
              </w:rPr>
              <w:t>2</w:t>
            </w:r>
          </w:p>
        </w:tc>
        <w:tc>
          <w:tcPr>
            <w:tcW w:type="dxa" w:w="3628"/>
            <w:shd w:val="clear" w:color="auto" w:fill="F2F5F9"/>
          </w:tcPr>
          <w:p>
            <w:r/>
            <w:r>
              <w:rPr>
                <w:sz w:val="17"/>
              </w:rPr>
              <w:t>Villarrica: desembolso UF 10.500 (UF 15.000 adicionales vienen de la venta de la casa, fuera de la cartera)</w:t>
            </w:r>
          </w:p>
        </w:tc>
        <w:tc>
          <w:tcPr>
            <w:tcW w:type="dxa" w:w="1077"/>
            <w:shd w:val="clear" w:color="auto" w:fill="F2F5F9"/>
          </w:tcPr>
          <w:p>
            <w:r/>
            <w:r>
              <w:rPr>
                <w:sz w:val="17"/>
              </w:rPr>
              <w:t>25</w:t>
            </w:r>
          </w:p>
        </w:tc>
        <w:tc>
          <w:tcPr>
            <w:tcW w:type="dxa" w:w="907"/>
            <w:shd w:val="clear" w:color="auto" w:fill="F2F5F9"/>
          </w:tcPr>
          <w:p>
            <w:r/>
            <w:r>
              <w:rPr>
                <w:sz w:val="17"/>
              </w:rPr>
              <w:t>10.500</w:t>
            </w:r>
          </w:p>
        </w:tc>
        <w:tc>
          <w:tcPr>
            <w:tcW w:type="dxa" w:w="1077"/>
            <w:shd w:val="clear" w:color="auto" w:fill="F2F5F9"/>
          </w:tcPr>
          <w:p>
            <w:r/>
            <w:r>
              <w:rPr>
                <w:sz w:val="17"/>
              </w:rPr>
              <w:t>470.385</w:t>
            </w:r>
          </w:p>
        </w:tc>
        <w:tc>
          <w:tcPr>
            <w:tcW w:type="dxa" w:w="1531"/>
            <w:shd w:val="clear" w:color="auto" w:fill="F2F5F9"/>
          </w:tcPr>
          <w:p>
            <w:r/>
            <w:r>
              <w:rPr>
                <w:sz w:val="17"/>
              </w:rPr>
              <w:t>Postergable o reducible</w:t>
            </w:r>
          </w:p>
        </w:tc>
      </w:tr>
      <w:tr>
        <w:tc>
          <w:tcPr>
            <w:tcW w:type="dxa" w:w="850"/>
          </w:tcPr>
          <w:p>
            <w:r/>
            <w:r>
              <w:rPr>
                <w:sz w:val="17"/>
              </w:rPr>
              <w:t>3</w:t>
            </w:r>
          </w:p>
        </w:tc>
        <w:tc>
          <w:tcPr>
            <w:tcW w:type="dxa" w:w="3628"/>
          </w:tcPr>
          <w:p>
            <w:r/>
            <w:r>
              <w:rPr>
                <w:sz w:val="17"/>
              </w:rPr>
              <w:t>Herencia: USD 250.000 por hijo, en dinero de hoy</w:t>
            </w:r>
          </w:p>
        </w:tc>
        <w:tc>
          <w:tcPr>
            <w:tcW w:type="dxa" w:w="1077"/>
          </w:tcPr>
          <w:p>
            <w:r/>
            <w:r>
              <w:rPr>
                <w:sz w:val="17"/>
              </w:rPr>
              <w:t>50</w:t>
            </w:r>
          </w:p>
        </w:tc>
        <w:tc>
          <w:tcPr>
            <w:tcW w:type="dxa" w:w="907"/>
          </w:tcPr>
          <w:p>
            <w:r/>
            <w:r>
              <w:rPr>
                <w:sz w:val="17"/>
              </w:rPr>
              <w:t>11.161</w:t>
            </w:r>
          </w:p>
        </w:tc>
        <w:tc>
          <w:tcPr>
            <w:tcW w:type="dxa" w:w="1077"/>
          </w:tcPr>
          <w:p>
            <w:r/>
            <w:r>
              <w:rPr>
                <w:sz w:val="17"/>
              </w:rPr>
              <w:t>500.000</w:t>
            </w:r>
          </w:p>
        </w:tc>
        <w:tc>
          <w:tcPr>
            <w:tcW w:type="dxa" w:w="1531"/>
          </w:tcPr>
          <w:p>
            <w:r/>
            <w:r>
              <w:rPr>
                <w:sz w:val="17"/>
              </w:rPr>
              <w:t>Residual: absorbe la variabilidad</w:t>
            </w:r>
          </w:p>
        </w:tc>
      </w:tr>
    </w:tbl>
    <w:p/>
    <w:p>
      <w:r>
        <w:rPr>
          <w:i w:val="0"/>
        </w:rPr>
        <w:t>La herencia tiene el mayor monto pero la menor prioridad: no tiene fecha rígida y es la variable de ajuste natural. Villarrica tiene fecha, pero el propio enunciado admite postergación, reducción de superficie o una localización alternativa. Educación no admite sustitución. Horizontes: corto plazo (menos de 3 años antes de cada pago de Educación), mediano plazo (3 a 15 años) y largo plazo (Villarrica y herencia). Entre los años 16 y 18 se pagan las dos carreras a la vez: es la mayor carga de liquidez del plan.</w:t>
      </w:r>
    </w:p>
    <w:p>
      <w:pPr>
        <w:pStyle w:val="Heading2"/>
      </w:pPr>
      <w:r>
        <w:t>2.5 Retorno requerido y factibilidad</w:t>
      </w:r>
    </w:p>
    <w:p>
      <w:pPr>
        <w:jc w:val="center"/>
      </w:pPr>
      <w:r>
        <w:drawing>
          <wp:inline xmlns:a="http://schemas.openxmlformats.org/drawingml/2006/main" xmlns:pic="http://schemas.openxmlformats.org/drawingml/2006/picture">
            <wp:extent cx="5760000" cy="2400000"/>
            <wp:docPr id="1" name="Picture 1"/>
            <wp:cNvGraphicFramePr>
              <a:graphicFrameLocks noChangeAspect="1"/>
            </wp:cNvGraphicFramePr>
            <a:graphic>
              <a:graphicData uri="http://schemas.openxmlformats.org/drawingml/2006/picture">
                <pic:pic>
                  <pic:nvPicPr>
                    <pic:cNvPr id="0" name="f5_tir.png"/>
                    <pic:cNvPicPr/>
                  </pic:nvPicPr>
                  <pic:blipFill>
                    <a:blip r:embed="rId9"/>
                    <a:stretch>
                      <a:fillRect/>
                    </a:stretch>
                  </pic:blipFill>
                  <pic:spPr>
                    <a:xfrm>
                      <a:off x="0" y="0"/>
                      <a:ext cx="5760000" cy="2400000"/>
                    </a:xfrm>
                    <a:prstGeom prst="rect"/>
                  </pic:spPr>
                </pic:pic>
              </a:graphicData>
            </a:graphic>
          </wp:inline>
        </w:drawing>
      </w:r>
    </w:p>
    <w:p>
      <w:pPr>
        <w:jc w:val="center"/>
      </w:pPr>
      <w:r>
        <w:rPr>
          <w:i/>
          <w:sz w:val="16"/>
        </w:rPr>
        <w:t>Figura 1. TIR real requerida por escenario. Fuente: codigo/objetivos.py; hoja 02_Objetivos_TIR (fórmula IRR).</w:t>
      </w:r>
    </w:p>
    <w:p>
      <w:r>
        <w:rPr>
          <w:i w:val="0"/>
        </w:rPr>
        <w:t>A la tasa real libre de riesgo, los recursos cubren 0,60 veces los objetivos: el plan es factible solo si la cartera captura prima por riesgo. Valorizados a la TIR, Villarrica representa 56% de la exigencia, Educación 25% y la herencia 19%. No se usa la venta de la casa de Santiago más allá de las UF 15.000 que el enunciado asigna a Villarrica.</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737"/>
            <w:shd w:val="clear" w:color="auto" w:fill="1F3A5F"/>
          </w:tcPr>
          <w:p>
            <w:r/>
            <w:r>
              <w:rPr>
                <w:b/>
                <w:color w:val="FFFFFF"/>
                <w:sz w:val="17"/>
              </w:rPr>
              <w:t>Año</w:t>
            </w:r>
          </w:p>
        </w:tc>
        <w:tc>
          <w:tcPr>
            <w:tcW w:type="dxa" w:w="5669"/>
            <w:shd w:val="clear" w:color="auto" w:fill="1F3A5F"/>
          </w:tcPr>
          <w:p>
            <w:r/>
            <w:r>
              <w:rPr>
                <w:b/>
                <w:color w:val="FFFFFF"/>
                <w:sz w:val="17"/>
              </w:rPr>
              <w:t>Concepto</w:t>
            </w:r>
          </w:p>
        </w:tc>
        <w:tc>
          <w:tcPr>
            <w:tcW w:type="dxa" w:w="1247"/>
            <w:shd w:val="clear" w:color="auto" w:fill="1F3A5F"/>
          </w:tcPr>
          <w:p>
            <w:r/>
            <w:r>
              <w:rPr>
                <w:b/>
                <w:color w:val="FFFFFF"/>
                <w:sz w:val="17"/>
              </w:rPr>
              <w:t>UF</w:t>
            </w:r>
          </w:p>
        </w:tc>
        <w:tc>
          <w:tcPr>
            <w:tcW w:type="dxa" w:w="1417"/>
            <w:shd w:val="clear" w:color="auto" w:fill="1F3A5F"/>
          </w:tcPr>
          <w:p>
            <w:r/>
            <w:r>
              <w:rPr>
                <w:b/>
                <w:color w:val="FFFFFF"/>
                <w:sz w:val="17"/>
              </w:rPr>
              <w:t>USD reales</w:t>
            </w:r>
          </w:p>
        </w:tc>
      </w:tr>
      <w:tr>
        <w:tc>
          <w:tcPr>
            <w:tcW w:type="dxa" w:w="737"/>
          </w:tcPr>
          <w:p>
            <w:r/>
            <w:r>
              <w:rPr>
                <w:sz w:val="17"/>
              </w:rPr>
              <w:t>14</w:t>
            </w:r>
          </w:p>
        </w:tc>
        <w:tc>
          <w:tcPr>
            <w:tcW w:type="dxa" w:w="5669"/>
          </w:tcPr>
          <w:p>
            <w:r/>
            <w:r>
              <w:rPr>
                <w:sz w:val="17"/>
              </w:rPr>
              <w:t>Educación</w:t>
            </w:r>
          </w:p>
        </w:tc>
        <w:tc>
          <w:tcPr>
            <w:tcW w:type="dxa" w:w="1247"/>
          </w:tcPr>
          <w:p>
            <w:r/>
            <w:r>
              <w:rPr>
                <w:sz w:val="17"/>
              </w:rPr>
              <w:t>318,3</w:t>
            </w:r>
          </w:p>
        </w:tc>
        <w:tc>
          <w:tcPr>
            <w:tcW w:type="dxa" w:w="1417"/>
          </w:tcPr>
          <w:p>
            <w:r/>
            <w:r>
              <w:rPr>
                <w:sz w:val="17"/>
              </w:rPr>
              <w:t>14.258</w:t>
            </w:r>
          </w:p>
        </w:tc>
      </w:tr>
      <w:tr>
        <w:tc>
          <w:tcPr>
            <w:tcW w:type="dxa" w:w="737"/>
            <w:shd w:val="clear" w:color="auto" w:fill="F2F5F9"/>
          </w:tcPr>
          <w:p>
            <w:r/>
            <w:r>
              <w:rPr>
                <w:sz w:val="17"/>
              </w:rPr>
              <w:t>15</w:t>
            </w:r>
          </w:p>
        </w:tc>
        <w:tc>
          <w:tcPr>
            <w:tcW w:type="dxa" w:w="5669"/>
            <w:shd w:val="clear" w:color="auto" w:fill="F2F5F9"/>
          </w:tcPr>
          <w:p>
            <w:r/>
            <w:r>
              <w:rPr>
                <w:sz w:val="17"/>
              </w:rPr>
              <w:t>Educación</w:t>
            </w:r>
          </w:p>
        </w:tc>
        <w:tc>
          <w:tcPr>
            <w:tcW w:type="dxa" w:w="1247"/>
            <w:shd w:val="clear" w:color="auto" w:fill="F2F5F9"/>
          </w:tcPr>
          <w:p>
            <w:r/>
            <w:r>
              <w:rPr>
                <w:sz w:val="17"/>
              </w:rPr>
              <w:t>318,3</w:t>
            </w:r>
          </w:p>
        </w:tc>
        <w:tc>
          <w:tcPr>
            <w:tcW w:type="dxa" w:w="1417"/>
            <w:shd w:val="clear" w:color="auto" w:fill="F2F5F9"/>
          </w:tcPr>
          <w:p>
            <w:r/>
            <w:r>
              <w:rPr>
                <w:sz w:val="17"/>
              </w:rPr>
              <w:t>14.258</w:t>
            </w:r>
          </w:p>
        </w:tc>
      </w:tr>
      <w:tr>
        <w:tc>
          <w:tcPr>
            <w:tcW w:type="dxa" w:w="737"/>
          </w:tcPr>
          <w:p>
            <w:r/>
            <w:r>
              <w:rPr>
                <w:sz w:val="17"/>
              </w:rPr>
              <w:t>16</w:t>
            </w:r>
          </w:p>
        </w:tc>
        <w:tc>
          <w:tcPr>
            <w:tcW w:type="dxa" w:w="5669"/>
          </w:tcPr>
          <w:p>
            <w:r/>
            <w:r>
              <w:rPr>
                <w:sz w:val="17"/>
              </w:rPr>
              <w:t>Educación</w:t>
            </w:r>
          </w:p>
        </w:tc>
        <w:tc>
          <w:tcPr>
            <w:tcW w:type="dxa" w:w="1247"/>
          </w:tcPr>
          <w:p>
            <w:r/>
            <w:r>
              <w:rPr>
                <w:sz w:val="17"/>
              </w:rPr>
              <w:t>636,5</w:t>
            </w:r>
          </w:p>
        </w:tc>
        <w:tc>
          <w:tcPr>
            <w:tcW w:type="dxa" w:w="1417"/>
          </w:tcPr>
          <w:p>
            <w:r/>
            <w:r>
              <w:rPr>
                <w:sz w:val="17"/>
              </w:rPr>
              <w:t>28.516</w:t>
            </w:r>
          </w:p>
        </w:tc>
      </w:tr>
      <w:tr>
        <w:tc>
          <w:tcPr>
            <w:tcW w:type="dxa" w:w="737"/>
            <w:shd w:val="clear" w:color="auto" w:fill="F2F5F9"/>
          </w:tcPr>
          <w:p>
            <w:r/>
            <w:r>
              <w:rPr>
                <w:sz w:val="17"/>
              </w:rPr>
              <w:t>17</w:t>
            </w:r>
          </w:p>
        </w:tc>
        <w:tc>
          <w:tcPr>
            <w:tcW w:type="dxa" w:w="5669"/>
            <w:shd w:val="clear" w:color="auto" w:fill="F2F5F9"/>
          </w:tcPr>
          <w:p>
            <w:r/>
            <w:r>
              <w:rPr>
                <w:sz w:val="17"/>
              </w:rPr>
              <w:t>Educación</w:t>
            </w:r>
          </w:p>
        </w:tc>
        <w:tc>
          <w:tcPr>
            <w:tcW w:type="dxa" w:w="1247"/>
            <w:shd w:val="clear" w:color="auto" w:fill="F2F5F9"/>
          </w:tcPr>
          <w:p>
            <w:r/>
            <w:r>
              <w:rPr>
                <w:sz w:val="17"/>
              </w:rPr>
              <w:t>636,5</w:t>
            </w:r>
          </w:p>
        </w:tc>
        <w:tc>
          <w:tcPr>
            <w:tcW w:type="dxa" w:w="1417"/>
            <w:shd w:val="clear" w:color="auto" w:fill="F2F5F9"/>
          </w:tcPr>
          <w:p>
            <w:r/>
            <w:r>
              <w:rPr>
                <w:sz w:val="17"/>
              </w:rPr>
              <w:t>28.516</w:t>
            </w:r>
          </w:p>
        </w:tc>
      </w:tr>
      <w:tr>
        <w:tc>
          <w:tcPr>
            <w:tcW w:type="dxa" w:w="737"/>
          </w:tcPr>
          <w:p>
            <w:r/>
            <w:r>
              <w:rPr>
                <w:sz w:val="17"/>
              </w:rPr>
              <w:t>18</w:t>
            </w:r>
          </w:p>
        </w:tc>
        <w:tc>
          <w:tcPr>
            <w:tcW w:type="dxa" w:w="5669"/>
          </w:tcPr>
          <w:p>
            <w:r/>
            <w:r>
              <w:rPr>
                <w:sz w:val="17"/>
              </w:rPr>
              <w:t>Educación</w:t>
            </w:r>
          </w:p>
        </w:tc>
        <w:tc>
          <w:tcPr>
            <w:tcW w:type="dxa" w:w="1247"/>
          </w:tcPr>
          <w:p>
            <w:r/>
            <w:r>
              <w:rPr>
                <w:sz w:val="17"/>
              </w:rPr>
              <w:t>636,5</w:t>
            </w:r>
          </w:p>
        </w:tc>
        <w:tc>
          <w:tcPr>
            <w:tcW w:type="dxa" w:w="1417"/>
          </w:tcPr>
          <w:p>
            <w:r/>
            <w:r>
              <w:rPr>
                <w:sz w:val="17"/>
              </w:rPr>
              <w:t>28.516</w:t>
            </w:r>
          </w:p>
        </w:tc>
      </w:tr>
      <w:tr>
        <w:tc>
          <w:tcPr>
            <w:tcW w:type="dxa" w:w="737"/>
            <w:shd w:val="clear" w:color="auto" w:fill="F2F5F9"/>
          </w:tcPr>
          <w:p>
            <w:r/>
            <w:r>
              <w:rPr>
                <w:sz w:val="17"/>
              </w:rPr>
              <w:t>19</w:t>
            </w:r>
          </w:p>
        </w:tc>
        <w:tc>
          <w:tcPr>
            <w:tcW w:type="dxa" w:w="5669"/>
            <w:shd w:val="clear" w:color="auto" w:fill="F2F5F9"/>
          </w:tcPr>
          <w:p>
            <w:r/>
            <w:r>
              <w:rPr>
                <w:sz w:val="17"/>
              </w:rPr>
              <w:t>Educación</w:t>
            </w:r>
          </w:p>
        </w:tc>
        <w:tc>
          <w:tcPr>
            <w:tcW w:type="dxa" w:w="1247"/>
            <w:shd w:val="clear" w:color="auto" w:fill="F2F5F9"/>
          </w:tcPr>
          <w:p>
            <w:r/>
            <w:r>
              <w:rPr>
                <w:sz w:val="17"/>
              </w:rPr>
              <w:t>318,3</w:t>
            </w:r>
          </w:p>
        </w:tc>
        <w:tc>
          <w:tcPr>
            <w:tcW w:type="dxa" w:w="1417"/>
            <w:shd w:val="clear" w:color="auto" w:fill="F2F5F9"/>
          </w:tcPr>
          <w:p>
            <w:r/>
            <w:r>
              <w:rPr>
                <w:sz w:val="17"/>
              </w:rPr>
              <w:t>14.258</w:t>
            </w:r>
          </w:p>
        </w:tc>
      </w:tr>
      <w:tr>
        <w:tc>
          <w:tcPr>
            <w:tcW w:type="dxa" w:w="737"/>
          </w:tcPr>
          <w:p>
            <w:r/>
            <w:r>
              <w:rPr>
                <w:sz w:val="17"/>
              </w:rPr>
              <w:t>20</w:t>
            </w:r>
          </w:p>
        </w:tc>
        <w:tc>
          <w:tcPr>
            <w:tcW w:type="dxa" w:w="5669"/>
          </w:tcPr>
          <w:p>
            <w:r/>
            <w:r>
              <w:rPr>
                <w:sz w:val="17"/>
              </w:rPr>
              <w:t>Educación</w:t>
            </w:r>
          </w:p>
        </w:tc>
        <w:tc>
          <w:tcPr>
            <w:tcW w:type="dxa" w:w="1247"/>
          </w:tcPr>
          <w:p>
            <w:r/>
            <w:r>
              <w:rPr>
                <w:sz w:val="17"/>
              </w:rPr>
              <w:t>318,3</w:t>
            </w:r>
          </w:p>
        </w:tc>
        <w:tc>
          <w:tcPr>
            <w:tcW w:type="dxa" w:w="1417"/>
          </w:tcPr>
          <w:p>
            <w:r/>
            <w:r>
              <w:rPr>
                <w:sz w:val="17"/>
              </w:rPr>
              <w:t>14.258</w:t>
            </w:r>
          </w:p>
        </w:tc>
      </w:tr>
      <w:tr>
        <w:tc>
          <w:tcPr>
            <w:tcW w:type="dxa" w:w="737"/>
            <w:shd w:val="clear" w:color="auto" w:fill="F2F5F9"/>
          </w:tcPr>
          <w:p>
            <w:r/>
            <w:r>
              <w:rPr>
                <w:sz w:val="17"/>
              </w:rPr>
              <w:t>25</w:t>
            </w:r>
          </w:p>
        </w:tc>
        <w:tc>
          <w:tcPr>
            <w:tcW w:type="dxa" w:w="5669"/>
            <w:shd w:val="clear" w:color="auto" w:fill="F2F5F9"/>
          </w:tcPr>
          <w:p>
            <w:r/>
            <w:r>
              <w:rPr>
                <w:sz w:val="17"/>
              </w:rPr>
              <w:t>Villarrica (desembolso; UF 15.000 adicionales vienen de la venta de la casa, fue</w:t>
            </w:r>
          </w:p>
        </w:tc>
        <w:tc>
          <w:tcPr>
            <w:tcW w:type="dxa" w:w="1247"/>
            <w:shd w:val="clear" w:color="auto" w:fill="F2F5F9"/>
          </w:tcPr>
          <w:p>
            <w:r/>
            <w:r>
              <w:rPr>
                <w:sz w:val="17"/>
              </w:rPr>
              <w:t>10.500,0</w:t>
            </w:r>
          </w:p>
        </w:tc>
        <w:tc>
          <w:tcPr>
            <w:tcW w:type="dxa" w:w="1417"/>
            <w:shd w:val="clear" w:color="auto" w:fill="F2F5F9"/>
          </w:tcPr>
          <w:p>
            <w:r/>
            <w:r>
              <w:rPr>
                <w:sz w:val="17"/>
              </w:rPr>
              <w:t>470.385</w:t>
            </w:r>
          </w:p>
        </w:tc>
      </w:tr>
      <w:tr>
        <w:tc>
          <w:tcPr>
            <w:tcW w:type="dxa" w:w="737"/>
          </w:tcPr>
          <w:p>
            <w:r/>
            <w:r>
              <w:rPr>
                <w:sz w:val="17"/>
              </w:rPr>
              <w:t>50</w:t>
            </w:r>
          </w:p>
        </w:tc>
        <w:tc>
          <w:tcPr>
            <w:tcW w:type="dxa" w:w="5669"/>
          </w:tcPr>
          <w:p>
            <w:r/>
            <w:r>
              <w:rPr>
                <w:sz w:val="17"/>
              </w:rPr>
              <w:t>Herencia (USD 250 mil por hijo)</w:t>
            </w:r>
          </w:p>
        </w:tc>
        <w:tc>
          <w:tcPr>
            <w:tcW w:type="dxa" w:w="1247"/>
          </w:tcPr>
          <w:p>
            <w:r/>
            <w:r>
              <w:rPr>
                <w:sz w:val="17"/>
              </w:rPr>
              <w:t>11.161,1</w:t>
            </w:r>
          </w:p>
        </w:tc>
        <w:tc>
          <w:tcPr>
            <w:tcW w:type="dxa" w:w="1417"/>
          </w:tcPr>
          <w:p>
            <w:r/>
            <w:r>
              <w:rPr>
                <w:sz w:val="17"/>
              </w:rPr>
              <w:t>500.000</w:t>
            </w:r>
          </w:p>
        </w:tc>
      </w:tr>
    </w:tbl>
    <w:p>
      <w:r>
        <w:rPr>
          <w:i/>
          <w:sz w:val="16"/>
        </w:rPr>
        <w:t>Plan de desembolsos. Tipo de cambio de corte: UF = CLP 40.846; USD = CLP 911,77 (BCCh, 11-ago-2026).</w:t>
      </w:r>
    </w:p>
    <w:p>
      <w:pPr>
        <w:pStyle w:val="Heading2"/>
      </w:pPr>
      <w:r>
        <w:t>2.6 Restricciones</w:t>
      </w:r>
    </w:p>
    <w:p>
      <w:pPr>
        <w:pStyle w:val="ListBullet"/>
      </w:pPr>
      <w:r>
        <w:rPr>
          <w:b/>
        </w:rPr>
        <w:t xml:space="preserve">Liquidez: </w:t>
      </w:r>
      <w:r>
        <w:t>sin retiros hasta el año 14; reserva operativa de 4% del capital (2% caja + 2% reserva cambiaria); fondo de emergencia fuera del mandato.</w:t>
      </w:r>
    </w:p>
    <w:p>
      <w:pPr>
        <w:pStyle w:val="ListBullet"/>
      </w:pPr>
      <w:r>
        <w:rPr>
          <w:b/>
        </w:rPr>
        <w:t xml:space="preserve">Legales y tributarias: </w:t>
      </w:r>
      <w:r>
        <w:t>ETF y acciones listadas en EE.UU.; retención de 15% sobre dividendos por el convenio Chile-EE.UU.; tributación en Chile al liquidar.</w:t>
      </w:r>
    </w:p>
    <w:p>
      <w:pPr>
        <w:pStyle w:val="ListBullet"/>
      </w:pPr>
      <w:r>
        <w:rPr>
          <w:b/>
        </w:rPr>
        <w:t xml:space="preserve">Éticas e idoneidad (CFA, Estándar III.C): </w:t>
      </w:r>
      <w:r>
        <w:t>sin derivados complejos, criptoactivos, apalancamiento ni ventas cortas, por el nivel de conocimiento declarado. Única excepción: forwards de venta de USD contra CLP con un banco regulado, solo como cobertura cambiaria (monto menor al valor de la cartera y plazo de hasta un año), explicados a los clientes y aceptados por ellos (sección 3.4).</w:t>
      </w:r>
    </w:p>
    <w:p>
      <w:pPr>
        <w:pStyle w:val="ListBullet"/>
      </w:pPr>
      <w:r>
        <w:rPr>
          <w:b/>
        </w:rPr>
        <w:t xml:space="preserve">Plataforma: </w:t>
      </w:r>
      <w:r>
        <w:t>instrumentos disponibles en StockTrak; al menos 150 operaciones en 12 semanas y 5 por semana en promedio.</w:t>
      </w:r>
    </w:p>
    <w:p>
      <w:pPr>
        <w:pStyle w:val="Heading2"/>
      </w:pPr>
      <w:r>
        <w:t>2.7 Asignación estratégica y riesgo-retorno esperado</w:t>
      </w:r>
    </w:p>
    <w:p>
      <w:pPr>
        <w:jc w:val="center"/>
      </w:pPr>
      <w:r>
        <w:drawing>
          <wp:inline xmlns:a="http://schemas.openxmlformats.org/drawingml/2006/main" xmlns:pic="http://schemas.openxmlformats.org/drawingml/2006/picture">
            <wp:extent cx="5760000" cy="2880000"/>
            <wp:docPr id="2" name="Picture 2"/>
            <wp:cNvGraphicFramePr>
              <a:graphicFrameLocks noChangeAspect="1"/>
            </wp:cNvGraphicFramePr>
            <a:graphic>
              <a:graphicData uri="http://schemas.openxmlformats.org/drawingml/2006/picture">
                <pic:pic>
                  <pic:nvPicPr>
                    <pic:cNvPr id="0" name="f3_asignacion.png"/>
                    <pic:cNvPicPr/>
                  </pic:nvPicPr>
                  <pic:blipFill>
                    <a:blip r:embed="rId10"/>
                    <a:stretch>
                      <a:fillRect/>
                    </a:stretch>
                  </pic:blipFill>
                  <pic:spPr>
                    <a:xfrm>
                      <a:off x="0" y="0"/>
                      <a:ext cx="5760000" cy="2880000"/>
                    </a:xfrm>
                    <a:prstGeom prst="rect"/>
                  </pic:spPr>
                </pic:pic>
              </a:graphicData>
            </a:graphic>
          </wp:inline>
        </w:drawing>
      </w:r>
    </w:p>
    <w:p>
      <w:pPr>
        <w:jc w:val="center"/>
      </w:pPr>
      <w:r>
        <w:rPr>
          <w:i/>
          <w:sz w:val="16"/>
        </w:rPr>
        <w:t>Figura 2. Pesos Black-Litterman (aprobados) frente al prior de paridad de riesgo y a Markowitz histórico. Fuente: hojas 05 y 06 del modelo.</w:t>
      </w:r>
    </w:p>
    <w:p>
      <w:r>
        <w:rPr>
          <w:i w:val="0"/>
        </w:rPr>
        <w:t>Marco: Black-Litterman parte de un prior de equilibrio de paridad de riesgo (peso inverso a la volatilidad), deriva retornos implícitos π = δΣw y los combina con dos vistas explícitas: el S&amp;P 500 rinde 6% (prima por riesgo de largo plazo) y Low-Volatility supera a commodities en 2 puntos. La optimización restringe el núcleo pasivo entre 60% y 70%. Markowitz con medias históricas se reporta solo como referencia: concentra en lo que más rindió en el pasado (ver walk-forward, sección 4.4).</w:t>
      </w:r>
    </w:p>
    <w:p>
      <w:r>
        <w:rPr>
          <w:i w:val="0"/>
        </w:rPr>
        <w:t>Los pesos aprobados en septiembre siguen vigentes: recalibrados con los datos corregidos de esta versión, difieren en menos de 0,6 puntos, dentro de la banda de rebalanceo de ±2 puntos. Cambiarlos solo generaría costos.</w:t>
      </w: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2835"/>
            <w:shd w:val="clear" w:color="auto" w:fill="1F3A5F"/>
          </w:tcPr>
          <w:p>
            <w:r/>
            <w:r>
              <w:rPr>
                <w:b/>
                <w:color w:val="FFFFFF"/>
                <w:sz w:val="17"/>
              </w:rPr>
              <w:t>Métrica (2016-2026, USD)</w:t>
            </w:r>
          </w:p>
        </w:tc>
        <w:tc>
          <w:tcPr>
            <w:tcW w:type="dxa" w:w="1531"/>
            <w:shd w:val="clear" w:color="auto" w:fill="1F3A5F"/>
          </w:tcPr>
          <w:p>
            <w:r/>
            <w:r>
              <w:rPr>
                <w:b/>
                <w:color w:val="FFFFFF"/>
                <w:sz w:val="17"/>
              </w:rPr>
              <w:t>Nexum</w:t>
            </w:r>
          </w:p>
        </w:tc>
        <w:tc>
          <w:tcPr>
            <w:tcW w:type="dxa" w:w="1531"/>
            <w:shd w:val="clear" w:color="auto" w:fill="1F3A5F"/>
          </w:tcPr>
          <w:p>
            <w:r/>
            <w:r>
              <w:rPr>
                <w:b/>
                <w:color w:val="FFFFFF"/>
                <w:sz w:val="17"/>
              </w:rPr>
              <w:t>Benchmark</w:t>
            </w:r>
          </w:p>
        </w:tc>
        <w:tc>
          <w:tcPr>
            <w:tcW w:type="dxa" w:w="1531"/>
            <w:shd w:val="clear" w:color="auto" w:fill="1F3A5F"/>
          </w:tcPr>
          <w:p>
            <w:r/>
            <w:r>
              <w:rPr>
                <w:b/>
                <w:color w:val="FFFFFF"/>
                <w:sz w:val="17"/>
              </w:rPr>
              <w:t>AGF 85/15</w:t>
            </w:r>
          </w:p>
        </w:tc>
        <w:tc>
          <w:tcPr>
            <w:tcW w:type="dxa" w:w="1531"/>
            <w:shd w:val="clear" w:color="auto" w:fill="1F3A5F"/>
          </w:tcPr>
          <w:p>
            <w:r/>
            <w:r>
              <w:rPr>
                <w:b/>
                <w:color w:val="FFFFFF"/>
                <w:sz w:val="17"/>
              </w:rPr>
              <w:t>S&amp;P 500</w:t>
            </w:r>
          </w:p>
        </w:tc>
      </w:tr>
      <w:tr>
        <w:tc>
          <w:tcPr>
            <w:tcW w:type="dxa" w:w="2835"/>
          </w:tcPr>
          <w:p>
            <w:r/>
            <w:r>
              <w:rPr>
                <w:sz w:val="17"/>
              </w:rPr>
              <w:t>CAGR</w:t>
            </w:r>
          </w:p>
        </w:tc>
        <w:tc>
          <w:tcPr>
            <w:tcW w:type="dxa" w:w="1531"/>
          </w:tcPr>
          <w:p>
            <w:r/>
            <w:r>
              <w:rPr>
                <w:sz w:val="17"/>
              </w:rPr>
              <w:t>9,9%</w:t>
            </w:r>
          </w:p>
        </w:tc>
        <w:tc>
          <w:tcPr>
            <w:tcW w:type="dxa" w:w="1531"/>
          </w:tcPr>
          <w:p>
            <w:r/>
            <w:r>
              <w:rPr>
                <w:sz w:val="17"/>
              </w:rPr>
              <w:t>9,3%</w:t>
            </w:r>
          </w:p>
        </w:tc>
        <w:tc>
          <w:tcPr>
            <w:tcW w:type="dxa" w:w="1531"/>
          </w:tcPr>
          <w:p>
            <w:r/>
            <w:r>
              <w:rPr>
                <w:sz w:val="17"/>
              </w:rPr>
              <w:t>12,7%</w:t>
            </w:r>
          </w:p>
        </w:tc>
        <w:tc>
          <w:tcPr>
            <w:tcW w:type="dxa" w:w="1531"/>
          </w:tcPr>
          <w:p>
            <w:r/>
            <w:r>
              <w:rPr>
                <w:sz w:val="17"/>
              </w:rPr>
              <w:t>15,1%</w:t>
            </w:r>
          </w:p>
        </w:tc>
      </w:tr>
      <w:tr>
        <w:tc>
          <w:tcPr>
            <w:tcW w:type="dxa" w:w="2835"/>
            <w:shd w:val="clear" w:color="auto" w:fill="F2F5F9"/>
          </w:tcPr>
          <w:p>
            <w:r/>
            <w:r>
              <w:rPr>
                <w:sz w:val="17"/>
              </w:rPr>
              <w:t>Volatilidad</w:t>
            </w:r>
          </w:p>
        </w:tc>
        <w:tc>
          <w:tcPr>
            <w:tcW w:type="dxa" w:w="1531"/>
            <w:shd w:val="clear" w:color="auto" w:fill="F2F5F9"/>
          </w:tcPr>
          <w:p>
            <w:r/>
            <w:r>
              <w:rPr>
                <w:sz w:val="17"/>
              </w:rPr>
              <w:t>10,6%</w:t>
            </w:r>
          </w:p>
        </w:tc>
        <w:tc>
          <w:tcPr>
            <w:tcW w:type="dxa" w:w="1531"/>
            <w:shd w:val="clear" w:color="auto" w:fill="F2F5F9"/>
          </w:tcPr>
          <w:p>
            <w:r/>
            <w:r>
              <w:rPr>
                <w:sz w:val="17"/>
              </w:rPr>
              <w:t>10,9%</w:t>
            </w:r>
          </w:p>
        </w:tc>
        <w:tc>
          <w:tcPr>
            <w:tcW w:type="dxa" w:w="1531"/>
            <w:shd w:val="clear" w:color="auto" w:fill="F2F5F9"/>
          </w:tcPr>
          <w:p>
            <w:r/>
            <w:r>
              <w:rPr>
                <w:sz w:val="17"/>
              </w:rPr>
              <w:t>12,9%</w:t>
            </w:r>
          </w:p>
        </w:tc>
        <w:tc>
          <w:tcPr>
            <w:tcW w:type="dxa" w:w="1531"/>
            <w:shd w:val="clear" w:color="auto" w:fill="F2F5F9"/>
          </w:tcPr>
          <w:p>
            <w:r/>
            <w:r>
              <w:rPr>
                <w:sz w:val="17"/>
              </w:rPr>
              <w:t>15,1%</w:t>
            </w:r>
          </w:p>
        </w:tc>
      </w:tr>
      <w:tr>
        <w:tc>
          <w:tcPr>
            <w:tcW w:type="dxa" w:w="2835"/>
          </w:tcPr>
          <w:p>
            <w:r/>
            <w:r>
              <w:rPr>
                <w:sz w:val="17"/>
              </w:rPr>
              <w:t>Sharpe</w:t>
            </w:r>
          </w:p>
        </w:tc>
        <w:tc>
          <w:tcPr>
            <w:tcW w:type="dxa" w:w="1531"/>
          </w:tcPr>
          <w:p>
            <w:r/>
            <w:r>
              <w:rPr>
                <w:sz w:val="17"/>
              </w:rPr>
              <w:t>0,74</w:t>
            </w:r>
          </w:p>
        </w:tc>
        <w:tc>
          <w:tcPr>
            <w:tcW w:type="dxa" w:w="1531"/>
          </w:tcPr>
          <w:p>
            <w:r/>
            <w:r>
              <w:rPr>
                <w:sz w:val="17"/>
              </w:rPr>
              <w:t>0,68</w:t>
            </w:r>
          </w:p>
        </w:tc>
        <w:tc>
          <w:tcPr>
            <w:tcW w:type="dxa" w:w="1531"/>
          </w:tcPr>
          <w:p>
            <w:r/>
            <w:r>
              <w:rPr>
                <w:sz w:val="17"/>
              </w:rPr>
              <w:t>0,83</w:t>
            </w:r>
          </w:p>
        </w:tc>
        <w:tc>
          <w:tcPr>
            <w:tcW w:type="dxa" w:w="1531"/>
          </w:tcPr>
          <w:p>
            <w:r/>
            <w:r>
              <w:rPr>
                <w:sz w:val="17"/>
              </w:rPr>
              <w:t>0,87</w:t>
            </w:r>
          </w:p>
        </w:tc>
      </w:tr>
      <w:tr>
        <w:tc>
          <w:tcPr>
            <w:tcW w:type="dxa" w:w="2835"/>
            <w:shd w:val="clear" w:color="auto" w:fill="F2F5F9"/>
          </w:tcPr>
          <w:p>
            <w:r/>
            <w:r>
              <w:rPr>
                <w:sz w:val="17"/>
              </w:rPr>
              <w:t>Sortino</w:t>
            </w:r>
          </w:p>
        </w:tc>
        <w:tc>
          <w:tcPr>
            <w:tcW w:type="dxa" w:w="1531"/>
            <w:shd w:val="clear" w:color="auto" w:fill="F2F5F9"/>
          </w:tcPr>
          <w:p>
            <w:r/>
            <w:r>
              <w:rPr>
                <w:sz w:val="17"/>
              </w:rPr>
              <w:t>0,64</w:t>
            </w:r>
          </w:p>
        </w:tc>
        <w:tc>
          <w:tcPr>
            <w:tcW w:type="dxa" w:w="1531"/>
            <w:shd w:val="clear" w:color="auto" w:fill="F2F5F9"/>
          </w:tcPr>
          <w:p>
            <w:r/>
            <w:r>
              <w:rPr>
                <w:sz w:val="17"/>
              </w:rPr>
              <w:t>0,58</w:t>
            </w:r>
          </w:p>
        </w:tc>
        <w:tc>
          <w:tcPr>
            <w:tcW w:type="dxa" w:w="1531"/>
            <w:shd w:val="clear" w:color="auto" w:fill="F2F5F9"/>
          </w:tcPr>
          <w:p>
            <w:r/>
            <w:r>
              <w:rPr>
                <w:sz w:val="17"/>
              </w:rPr>
              <w:t>0,73</w:t>
            </w:r>
          </w:p>
        </w:tc>
        <w:tc>
          <w:tcPr>
            <w:tcW w:type="dxa" w:w="1531"/>
            <w:shd w:val="clear" w:color="auto" w:fill="F2F5F9"/>
          </w:tcPr>
          <w:p>
            <w:r/>
            <w:r>
              <w:rPr>
                <w:sz w:val="17"/>
              </w:rPr>
              <w:t>0,78</w:t>
            </w:r>
          </w:p>
        </w:tc>
      </w:tr>
      <w:tr>
        <w:tc>
          <w:tcPr>
            <w:tcW w:type="dxa" w:w="2835"/>
          </w:tcPr>
          <w:p>
            <w:r/>
            <w:r>
              <w:rPr>
                <w:sz w:val="17"/>
              </w:rPr>
              <w:t>Beta</w:t>
            </w:r>
          </w:p>
        </w:tc>
        <w:tc>
          <w:tcPr>
            <w:tcW w:type="dxa" w:w="1531"/>
          </w:tcPr>
          <w:p>
            <w:r/>
            <w:r>
              <w:rPr>
                <w:sz w:val="17"/>
              </w:rPr>
              <w:t>0,65</w:t>
            </w:r>
          </w:p>
        </w:tc>
        <w:tc>
          <w:tcPr>
            <w:tcW w:type="dxa" w:w="1531"/>
          </w:tcPr>
          <w:p>
            <w:r/>
            <w:r>
              <w:rPr>
                <w:sz w:val="17"/>
              </w:rPr>
              <w:t>0,68</w:t>
            </w:r>
          </w:p>
        </w:tc>
        <w:tc>
          <w:tcPr>
            <w:tcW w:type="dxa" w:w="1531"/>
          </w:tcPr>
          <w:p>
            <w:r/>
            <w:r>
              <w:rPr>
                <w:sz w:val="17"/>
              </w:rPr>
              <w:t>0,85</w:t>
            </w:r>
          </w:p>
        </w:tc>
        <w:tc>
          <w:tcPr>
            <w:tcW w:type="dxa" w:w="1531"/>
          </w:tcPr>
          <w:p>
            <w:r/>
            <w:r>
              <w:rPr>
                <w:sz w:val="17"/>
              </w:rPr>
              <w:t>1,00</w:t>
            </w:r>
          </w:p>
        </w:tc>
      </w:tr>
      <w:tr>
        <w:tc>
          <w:tcPr>
            <w:tcW w:type="dxa" w:w="2835"/>
            <w:shd w:val="clear" w:color="auto" w:fill="F2F5F9"/>
          </w:tcPr>
          <w:p>
            <w:r/>
            <w:r>
              <w:rPr>
                <w:sz w:val="17"/>
              </w:rPr>
              <w:t>Máx. caída</w:t>
            </w:r>
          </w:p>
        </w:tc>
        <w:tc>
          <w:tcPr>
            <w:tcW w:type="dxa" w:w="1531"/>
            <w:shd w:val="clear" w:color="auto" w:fill="F2F5F9"/>
          </w:tcPr>
          <w:p>
            <w:r/>
            <w:r>
              <w:rPr>
                <w:sz w:val="17"/>
              </w:rPr>
              <w:t>-20,5%</w:t>
            </w:r>
          </w:p>
        </w:tc>
        <w:tc>
          <w:tcPr>
            <w:tcW w:type="dxa" w:w="1531"/>
            <w:shd w:val="clear" w:color="auto" w:fill="F2F5F9"/>
          </w:tcPr>
          <w:p>
            <w:r/>
            <w:r>
              <w:rPr>
                <w:sz w:val="17"/>
              </w:rPr>
              <w:t>-20,3%</w:t>
            </w:r>
          </w:p>
        </w:tc>
        <w:tc>
          <w:tcPr>
            <w:tcW w:type="dxa" w:w="1531"/>
            <w:shd w:val="clear" w:color="auto" w:fill="F2F5F9"/>
          </w:tcPr>
          <w:p>
            <w:r/>
            <w:r>
              <w:rPr>
                <w:sz w:val="17"/>
              </w:rPr>
              <w:t>-22,6%</w:t>
            </w:r>
          </w:p>
        </w:tc>
        <w:tc>
          <w:tcPr>
            <w:tcW w:type="dxa" w:w="1531"/>
            <w:shd w:val="clear" w:color="auto" w:fill="F2F5F9"/>
          </w:tcPr>
          <w:p>
            <w:r/>
            <w:r>
              <w:rPr>
                <w:sz w:val="17"/>
              </w:rPr>
              <w:t>-23,9%</w:t>
            </w:r>
          </w:p>
        </w:tc>
      </w:tr>
      <w:tr>
        <w:tc>
          <w:tcPr>
            <w:tcW w:type="dxa" w:w="2835"/>
          </w:tcPr>
          <w:p>
            <w:r/>
            <w:r>
              <w:rPr>
                <w:sz w:val="17"/>
              </w:rPr>
              <w:t>VaR 95% mensual</w:t>
            </w:r>
          </w:p>
        </w:tc>
        <w:tc>
          <w:tcPr>
            <w:tcW w:type="dxa" w:w="1531"/>
          </w:tcPr>
          <w:p>
            <w:r/>
            <w:r>
              <w:rPr>
                <w:sz w:val="17"/>
              </w:rPr>
              <w:t>4,6%</w:t>
            </w:r>
          </w:p>
        </w:tc>
        <w:tc>
          <w:tcPr>
            <w:tcW w:type="dxa" w:w="1531"/>
          </w:tcPr>
          <w:p>
            <w:r/>
            <w:r>
              <w:rPr>
                <w:sz w:val="17"/>
              </w:rPr>
              <w:t>4,5%</w:t>
            </w:r>
          </w:p>
        </w:tc>
        <w:tc>
          <w:tcPr>
            <w:tcW w:type="dxa" w:w="1531"/>
          </w:tcPr>
          <w:p>
            <w:r/>
            <w:r>
              <w:rPr>
                <w:sz w:val="17"/>
              </w:rPr>
              <w:t>5,7%</w:t>
            </w:r>
          </w:p>
        </w:tc>
        <w:tc>
          <w:tcPr>
            <w:tcW w:type="dxa" w:w="1531"/>
          </w:tcPr>
          <w:p>
            <w:r/>
            <w:r>
              <w:rPr>
                <w:sz w:val="17"/>
              </w:rPr>
              <w:t>6,7%</w:t>
            </w:r>
          </w:p>
        </w:tc>
      </w:tr>
      <w:tr>
        <w:tc>
          <w:tcPr>
            <w:tcW w:type="dxa" w:w="2835"/>
            <w:shd w:val="clear" w:color="auto" w:fill="F2F5F9"/>
          </w:tcPr>
          <w:p>
            <w:r/>
            <w:r>
              <w:rPr>
                <w:sz w:val="17"/>
              </w:rPr>
              <w:t>CVaR 95% mensual</w:t>
            </w:r>
          </w:p>
        </w:tc>
        <w:tc>
          <w:tcPr>
            <w:tcW w:type="dxa" w:w="1531"/>
            <w:shd w:val="clear" w:color="auto" w:fill="F2F5F9"/>
          </w:tcPr>
          <w:p>
            <w:r/>
            <w:r>
              <w:rPr>
                <w:sz w:val="17"/>
              </w:rPr>
              <w:t>6,2%</w:t>
            </w:r>
          </w:p>
        </w:tc>
        <w:tc>
          <w:tcPr>
            <w:tcW w:type="dxa" w:w="1531"/>
            <w:shd w:val="clear" w:color="auto" w:fill="F2F5F9"/>
          </w:tcPr>
          <w:p>
            <w:r/>
            <w:r>
              <w:rPr>
                <w:sz w:val="17"/>
              </w:rPr>
              <w:t>6,5%</w:t>
            </w:r>
          </w:p>
        </w:tc>
        <w:tc>
          <w:tcPr>
            <w:tcW w:type="dxa" w:w="1531"/>
            <w:shd w:val="clear" w:color="auto" w:fill="F2F5F9"/>
          </w:tcPr>
          <w:p>
            <w:r/>
            <w:r>
              <w:rPr>
                <w:sz w:val="17"/>
              </w:rPr>
              <w:t>7,7%</w:t>
            </w:r>
          </w:p>
        </w:tc>
        <w:tc>
          <w:tcPr>
            <w:tcW w:type="dxa" w:w="1531"/>
            <w:shd w:val="clear" w:color="auto" w:fill="F2F5F9"/>
          </w:tcPr>
          <w:p>
            <w:r/>
            <w:r>
              <w:rPr>
                <w:sz w:val="17"/>
              </w:rPr>
              <w:t>8,9%</w:t>
            </w:r>
          </w:p>
        </w:tc>
      </w:tr>
      <w:tr>
        <w:tc>
          <w:tcPr>
            <w:tcW w:type="dxa" w:w="2835"/>
          </w:tcPr>
          <w:p>
            <w:r/>
            <w:r>
              <w:rPr>
                <w:sz w:val="17"/>
              </w:rPr>
              <w:t>Tracking error</w:t>
            </w:r>
          </w:p>
        </w:tc>
        <w:tc>
          <w:tcPr>
            <w:tcW w:type="dxa" w:w="1531"/>
          </w:tcPr>
          <w:p>
            <w:r/>
            <w:r>
              <w:rPr>
                <w:sz w:val="17"/>
              </w:rPr>
              <w:t>2,1%</w:t>
            </w:r>
          </w:p>
        </w:tc>
        <w:tc>
          <w:tcPr>
            <w:tcW w:type="dxa" w:w="1531"/>
          </w:tcPr>
          <w:p>
            <w:r/>
            <w:r>
              <w:rPr>
                <w:sz w:val="17"/>
              </w:rPr>
              <w:t>0,0%</w:t>
            </w:r>
          </w:p>
        </w:tc>
        <w:tc>
          <w:tcPr>
            <w:tcW w:type="dxa" w:w="1531"/>
          </w:tcPr>
          <w:p>
            <w:r/>
            <w:r>
              <w:rPr>
                <w:sz w:val="17"/>
              </w:rPr>
              <w:t>4,1%</w:t>
            </w:r>
          </w:p>
        </w:tc>
        <w:tc>
          <w:tcPr>
            <w:tcW w:type="dxa" w:w="1531"/>
          </w:tcPr>
          <w:p>
            <w:r/>
            <w:r>
              <w:rPr>
                <w:sz w:val="17"/>
              </w:rPr>
              <w:t>6,1%</w:t>
            </w:r>
          </w:p>
        </w:tc>
      </w:tr>
      <w:tr>
        <w:tc>
          <w:tcPr>
            <w:tcW w:type="dxa" w:w="2835"/>
            <w:shd w:val="clear" w:color="auto" w:fill="F2F5F9"/>
          </w:tcPr>
          <w:p>
            <w:r/>
            <w:r>
              <w:rPr>
                <w:sz w:val="17"/>
              </w:rPr>
              <w:t>Information ratio</w:t>
            </w:r>
          </w:p>
        </w:tc>
        <w:tc>
          <w:tcPr>
            <w:tcW w:type="dxa" w:w="1531"/>
            <w:shd w:val="clear" w:color="auto" w:fill="F2F5F9"/>
          </w:tcPr>
          <w:p>
            <w:r/>
            <w:r>
              <w:rPr>
                <w:sz w:val="17"/>
              </w:rPr>
              <w:t>0,27</w:t>
            </w:r>
          </w:p>
        </w:tc>
        <w:tc>
          <w:tcPr>
            <w:tcW w:type="dxa" w:w="1531"/>
            <w:shd w:val="clear" w:color="auto" w:fill="F2F5F9"/>
          </w:tcPr>
          <w:p>
            <w:r/>
            <w:r>
              <w:rPr>
                <w:sz w:val="17"/>
              </w:rPr>
              <w:t>—</w:t>
            </w:r>
          </w:p>
        </w:tc>
        <w:tc>
          <w:tcPr>
            <w:tcW w:type="dxa" w:w="1531"/>
            <w:shd w:val="clear" w:color="auto" w:fill="F2F5F9"/>
          </w:tcPr>
          <w:p>
            <w:r/>
            <w:r>
              <w:rPr>
                <w:sz w:val="17"/>
              </w:rPr>
              <w:t>0,81</w:t>
            </w:r>
          </w:p>
        </w:tc>
        <w:tc>
          <w:tcPr>
            <w:tcW w:type="dxa" w:w="1531"/>
            <w:shd w:val="clear" w:color="auto" w:fill="F2F5F9"/>
          </w:tcPr>
          <w:p>
            <w:r/>
            <w:r>
              <w:rPr>
                <w:sz w:val="17"/>
              </w:rPr>
              <w:t>0,94</w:t>
            </w:r>
          </w:p>
        </w:tc>
      </w:tr>
    </w:tbl>
    <w:p/>
    <w:p>
      <w:r>
        <w:rPr>
          <w:i w:val="0"/>
        </w:rPr>
        <w:t>Retorno esperado vs requerido: el retorno histórico real 2013-2026 fue 7,8%, muy sobre el requerido. Con supuestos prospectivos (tasa real ~2,5% más primas moderadas; sección 4.3) el retorno real esperado es 4,6%, levemente bajo el requerido de 4,65%: el plan es exigente y depende de las palancas. Nivel de riesgo aceptable: volatilidad anual de 10-12%, máxima caída tolerada de 25% y probabilidad de Educación de al menos 90%.</w:t>
      </w:r>
    </w:p>
    <w:p>
      <w:pPr>
        <w:jc w:val="center"/>
      </w:pPr>
      <w:r>
        <w:drawing>
          <wp:inline xmlns:a="http://schemas.openxmlformats.org/drawingml/2006/main" xmlns:pic="http://schemas.openxmlformats.org/drawingml/2006/picture">
            <wp:extent cx="5760000" cy="2400000"/>
            <wp:docPr id="3" name="Picture 3"/>
            <wp:cNvGraphicFramePr>
              <a:graphicFrameLocks noChangeAspect="1"/>
            </wp:cNvGraphicFramePr>
            <a:graphic>
              <a:graphicData uri="http://schemas.openxmlformats.org/drawingml/2006/picture">
                <pic:pic>
                  <pic:nvPicPr>
                    <pic:cNvPr id="0" name="f8_riesgo.png"/>
                    <pic:cNvPicPr/>
                  </pic:nvPicPr>
                  <pic:blipFill>
                    <a:blip r:embed="rId11"/>
                    <a:stretch>
                      <a:fillRect/>
                    </a:stretch>
                  </pic:blipFill>
                  <pic:spPr>
                    <a:xfrm>
                      <a:off x="0" y="0"/>
                      <a:ext cx="5760000" cy="2400000"/>
                    </a:xfrm>
                    <a:prstGeom prst="rect"/>
                  </pic:spPr>
                </pic:pic>
              </a:graphicData>
            </a:graphic>
          </wp:inline>
        </w:drawing>
      </w:r>
    </w:p>
    <w:p>
      <w:pPr>
        <w:jc w:val="center"/>
      </w:pPr>
      <w:r>
        <w:rPr>
          <w:i/>
          <w:sz w:val="16"/>
        </w:rPr>
        <w:t>Figura 3. Peso de cada activo frente a su contribución al riesgo total (pesos aprobados, covarianza 2013-2026). Fuente: hoja 06 del modelo.</w:t>
      </w:r>
    </w:p>
    <w:p>
      <w:r>
        <w:rPr>
          <w:i w:val="0"/>
        </w:rPr>
        <w:t>Contribución al riesgo: el S&amp;P 500 pesa 37,9% pero aporta 49,5% del riesgo; Momentum pesa 7,1% y aporta 11,9%. Los bonos del Tesoro diversifican: con 16,9% del capital aportan solo 7,4%. El presupuesto de riesgo está dominado por la renta variable, coherente con un perfil moderado de horizonte largo que necesita prima por riesgo para cumplir sus objetivos.</w:t>
      </w:r>
    </w:p>
    <w:p>
      <w:pPr>
        <w:jc w:val="center"/>
      </w:pPr>
      <w:r>
        <w:drawing>
          <wp:inline xmlns:a="http://schemas.openxmlformats.org/drawingml/2006/main" xmlns:pic="http://schemas.openxmlformats.org/drawingml/2006/picture">
            <wp:extent cx="5760000" cy="2720000"/>
            <wp:docPr id="4" name="Picture 4"/>
            <wp:cNvGraphicFramePr>
              <a:graphicFrameLocks noChangeAspect="1"/>
            </wp:cNvGraphicFramePr>
            <a:graphic>
              <a:graphicData uri="http://schemas.openxmlformats.org/drawingml/2006/picture">
                <pic:pic>
                  <pic:nvPicPr>
                    <pic:cNvPr id="0" name="f1_crecimiento.png"/>
                    <pic:cNvPicPr/>
                  </pic:nvPicPr>
                  <pic:blipFill>
                    <a:blip r:embed="rId12"/>
                    <a:stretch>
                      <a:fillRect/>
                    </a:stretch>
                  </pic:blipFill>
                  <pic:spPr>
                    <a:xfrm>
                      <a:off x="0" y="0"/>
                      <a:ext cx="5760000" cy="2720000"/>
                    </a:xfrm>
                    <a:prstGeom prst="rect"/>
                  </pic:spPr>
                </pic:pic>
              </a:graphicData>
            </a:graphic>
          </wp:inline>
        </w:drawing>
      </w:r>
    </w:p>
    <w:p>
      <w:pPr>
        <w:jc w:val="center"/>
      </w:pPr>
      <w:r>
        <w:rPr>
          <w:i/>
          <w:sz w:val="16"/>
        </w:rPr>
        <w:t>Figura 4. Crecimiento de USD 100 (2016-2026). Fuente: resultados/retornos_cartera_benchmark.csv.</w:t>
      </w:r>
    </w:p>
    <w:p>
      <w:pPr>
        <w:jc w:val="center"/>
      </w:pPr>
      <w:r>
        <w:drawing>
          <wp:inline xmlns:a="http://schemas.openxmlformats.org/drawingml/2006/main" xmlns:pic="http://schemas.openxmlformats.org/drawingml/2006/picture">
            <wp:extent cx="5760000" cy="2080000"/>
            <wp:docPr id="5" name="Picture 5"/>
            <wp:cNvGraphicFramePr>
              <a:graphicFrameLocks noChangeAspect="1"/>
            </wp:cNvGraphicFramePr>
            <a:graphic>
              <a:graphicData uri="http://schemas.openxmlformats.org/drawingml/2006/picture">
                <pic:pic>
                  <pic:nvPicPr>
                    <pic:cNvPr id="0" name="f2_caidas.png"/>
                    <pic:cNvPicPr/>
                  </pic:nvPicPr>
                  <pic:blipFill>
                    <a:blip r:embed="rId13"/>
                    <a:stretch>
                      <a:fillRect/>
                    </a:stretch>
                  </pic:blipFill>
                  <pic:spPr>
                    <a:xfrm>
                      <a:off x="0" y="0"/>
                      <a:ext cx="5760000" cy="2080000"/>
                    </a:xfrm>
                    <a:prstGeom prst="rect"/>
                  </pic:spPr>
                </pic:pic>
              </a:graphicData>
            </a:graphic>
          </wp:inline>
        </w:drawing>
      </w:r>
    </w:p>
    <w:p>
      <w:pPr>
        <w:jc w:val="center"/>
      </w:pPr>
      <w:r>
        <w:rPr>
          <w:i/>
          <w:sz w:val="16"/>
        </w:rPr>
        <w:t>Figura 5. Caídas desde el máximo: Nexum frente a la cartera actual de la AGF.</w:t>
      </w:r>
    </w:p>
    <w:p>
      <w:pPr>
        <w:pStyle w:val="Heading2"/>
      </w:pPr>
      <w:r>
        <w:t>2.8 Selección, seguimiento y rebalanceo</w:t>
      </w:r>
    </w:p>
    <w:tbl>
      <w:tblPr>
        <w:tblStyle w:val="TableGrid"/>
        <w:tblW w:type="auto" w:w="0"/>
        <w:jc w:val="center"/>
        <w:tblLook w:firstColumn="1" w:firstRow="1" w:lastColumn="0" w:lastRow="0" w:noHBand="0" w:noVBand="1" w:val="04A0"/>
      </w:tblPr>
      <w:tblGrid>
        <w:gridCol w:w="4816"/>
        <w:gridCol w:w="4816"/>
      </w:tblGrid>
      <w:tr>
        <w:tc>
          <w:tcPr>
            <w:tcW w:type="dxa" w:w="2041"/>
            <w:shd w:val="clear" w:color="auto" w:fill="1F3A5F"/>
          </w:tcPr>
          <w:p>
            <w:r/>
            <w:r>
              <w:rPr>
                <w:b/>
                <w:color w:val="FFFFFF"/>
                <w:sz w:val="17"/>
              </w:rPr>
              <w:t>Elemento</w:t>
            </w:r>
          </w:p>
        </w:tc>
        <w:tc>
          <w:tcPr>
            <w:tcW w:type="dxa" w:w="7030"/>
            <w:shd w:val="clear" w:color="auto" w:fill="1F3A5F"/>
          </w:tcPr>
          <w:p>
            <w:r/>
            <w:r>
              <w:rPr>
                <w:b/>
                <w:color w:val="FFFFFF"/>
                <w:sz w:val="17"/>
              </w:rPr>
              <w:t>Regla</w:t>
            </w:r>
          </w:p>
        </w:tc>
      </w:tr>
      <w:tr>
        <w:tc>
          <w:tcPr>
            <w:tcW w:type="dxa" w:w="2041"/>
          </w:tcPr>
          <w:p>
            <w:r/>
            <w:r>
              <w:rPr>
                <w:sz w:val="17"/>
              </w:rPr>
              <w:t>Selección</w:t>
            </w:r>
          </w:p>
        </w:tc>
        <w:tc>
          <w:tcPr>
            <w:tcW w:type="dxa" w:w="7030"/>
          </w:tcPr>
          <w:p>
            <w:r/>
            <w:r>
              <w:rPr>
                <w:sz w:val="17"/>
              </w:rPr>
              <w:t>Núcleo: ETF líquidos de bajo costo. Satélite: acciones del S&amp;P 500 (precio ≥ USD 5, liquidez ≥ USD 5 millones/día) y 5 ETF de commodities</w:t>
            </w:r>
          </w:p>
        </w:tc>
      </w:tr>
      <w:tr>
        <w:tc>
          <w:tcPr>
            <w:tcW w:type="dxa" w:w="2041"/>
            <w:shd w:val="clear" w:color="auto" w:fill="F2F5F9"/>
          </w:tcPr>
          <w:p>
            <w:r/>
            <w:r>
              <w:rPr>
                <w:sz w:val="17"/>
              </w:rPr>
              <w:t>Señales</w:t>
            </w:r>
          </w:p>
        </w:tc>
        <w:tc>
          <w:tcPr>
            <w:tcW w:type="dxa" w:w="7030"/>
            <w:shd w:val="clear" w:color="auto" w:fill="F2F5F9"/>
          </w:tcPr>
          <w:p>
            <w:r/>
            <w:r>
              <w:rPr>
                <w:sz w:val="17"/>
              </w:rPr>
              <w:t>Mensuales, con el cierre del último día hábil (codigo/senales.py); ejecución escalonada durante la semana siguiente</w:t>
            </w:r>
          </w:p>
        </w:tc>
      </w:tr>
      <w:tr>
        <w:tc>
          <w:tcPr>
            <w:tcW w:type="dxa" w:w="2041"/>
          </w:tcPr>
          <w:p>
            <w:r/>
            <w:r>
              <w:rPr>
                <w:sz w:val="17"/>
              </w:rPr>
              <w:t>Bandas</w:t>
            </w:r>
          </w:p>
        </w:tc>
        <w:tc>
          <w:tcPr>
            <w:tcW w:type="dxa" w:w="7030"/>
          </w:tcPr>
          <w:p>
            <w:r/>
            <w:r>
              <w:rPr>
                <w:sz w:val="17"/>
              </w:rPr>
              <w:t>Núcleo ±5 puntos por activo; satélite ±2 puntos por sleeve; dentro de cada sleeve, peso igual</w:t>
            </w:r>
          </w:p>
        </w:tc>
      </w:tr>
      <w:tr>
        <w:tc>
          <w:tcPr>
            <w:tcW w:type="dxa" w:w="2041"/>
            <w:shd w:val="clear" w:color="auto" w:fill="F2F5F9"/>
          </w:tcPr>
          <w:p>
            <w:r/>
            <w:r>
              <w:rPr>
                <w:sz w:val="17"/>
              </w:rPr>
              <w:t>Revisión semanal</w:t>
            </w:r>
          </w:p>
        </w:tc>
        <w:tc>
          <w:tcPr>
            <w:tcW w:type="dxa" w:w="7030"/>
            <w:shd w:val="clear" w:color="auto" w:fill="F2F5F9"/>
          </w:tcPr>
          <w:p>
            <w:r/>
            <w:r>
              <w:rPr>
                <w:sz w:val="17"/>
              </w:rPr>
              <w:t>Ranking de Momentum con banda de permanencia: una acción se mantiene mientras esté en el top 25</w:t>
            </w:r>
          </w:p>
        </w:tc>
      </w:tr>
      <w:tr>
        <w:tc>
          <w:tcPr>
            <w:tcW w:type="dxa" w:w="2041"/>
          </w:tcPr>
          <w:p>
            <w:r/>
            <w:r>
              <w:rPr>
                <w:sz w:val="17"/>
              </w:rPr>
              <w:t>Costos</w:t>
            </w:r>
          </w:p>
        </w:tc>
        <w:tc>
          <w:tcPr>
            <w:tcW w:type="dxa" w:w="7030"/>
          </w:tcPr>
          <w:p>
            <w:r/>
            <w:r>
              <w:rPr>
                <w:sz w:val="17"/>
              </w:rPr>
              <w:t>No se ejecutan ajustes menores a USD 500 (comisión de USD 10 = 2% del monto)</w:t>
            </w:r>
          </w:p>
        </w:tc>
      </w:tr>
      <w:tr>
        <w:tc>
          <w:tcPr>
            <w:tcW w:type="dxa" w:w="2041"/>
            <w:shd w:val="clear" w:color="auto" w:fill="F2F5F9"/>
          </w:tcPr>
          <w:p>
            <w:r/>
            <w:r>
              <w:rPr>
                <w:sz w:val="17"/>
              </w:rPr>
              <w:t>Disciplina de venta</w:t>
            </w:r>
          </w:p>
        </w:tc>
        <w:tc>
          <w:tcPr>
            <w:tcW w:type="dxa" w:w="7030"/>
            <w:shd w:val="clear" w:color="auto" w:fill="F2F5F9"/>
          </w:tcPr>
          <w:p>
            <w:r/>
            <w:r>
              <w:rPr>
                <w:sz w:val="17"/>
              </w:rPr>
              <w:t>Núcleo sin stop-loss (se controla con bandas). Satélite: salida por señal; stop de emergencia de −15%; en posiciones con ganancia, stop móvil sobre el costo</w:t>
            </w:r>
          </w:p>
        </w:tc>
      </w:tr>
      <w:tr>
        <w:tc>
          <w:tcPr>
            <w:tcW w:type="dxa" w:w="2041"/>
          </w:tcPr>
          <w:p>
            <w:r/>
            <w:r>
              <w:rPr>
                <w:sz w:val="17"/>
              </w:rPr>
              <w:t>Eventos</w:t>
            </w:r>
          </w:p>
        </w:tc>
        <w:tc>
          <w:tcPr>
            <w:tcW w:type="dxa" w:w="7030"/>
          </w:tcPr>
          <w:p>
            <w:r/>
            <w:r>
              <w:rPr>
                <w:sz w:val="17"/>
              </w:rPr>
              <w:t>No se ejecuta en la primera media hora ni durante la publicación de datos de la Fed, inflación o empleo</w:t>
            </w:r>
          </w:p>
        </w:tc>
      </w:tr>
      <w:tr>
        <w:tc>
          <w:tcPr>
            <w:tcW w:type="dxa" w:w="2041"/>
            <w:shd w:val="clear" w:color="auto" w:fill="F2F5F9"/>
          </w:tcPr>
          <w:p>
            <w:r/>
            <w:r>
              <w:rPr>
                <w:sz w:val="17"/>
              </w:rPr>
              <w:t>Cobertura cambiaria</w:t>
            </w:r>
          </w:p>
        </w:tc>
        <w:tc>
          <w:tcPr>
            <w:tcW w:type="dxa" w:w="7030"/>
            <w:shd w:val="clear" w:color="auto" w:fill="F2F5F9"/>
          </w:tcPr>
          <w:p>
            <w:r/>
            <w:r>
              <w:rPr>
                <w:sz w:val="17"/>
              </w:rPr>
              <w:t>Forward de venta de USD a un año por ~70% de la cartera (sección 3.4); al vencimiento se evalúa renovarlo con la razón de cobertura vigente</w:t>
            </w:r>
          </w:p>
        </w:tc>
      </w:tr>
    </w:tbl>
    <w:p/>
    <w:p>
      <w:r>
        <w:rPr>
          <w:i w:val="0"/>
        </w:rPr>
        <w:t>Las bandas no son restrictivas. En el backtest 2013-2026, las bandas vigentes (±5 / ±2) se activan 0,8 veces al año (~17 órdenes) y mantienen la cartera a 0,5% de tracking error de los pesos aprobados. Bandas de ±3 / ±1 duplicarían los rebalanceos (2,1 al año) sin mejorar el resultado, y el rebalanceo mensual exigiría ~81 órdenes al año. No rebalancear nunca deja la cartera con 2,0% de desvío y más volatilidad (11,0% vs 9,9%). Las operaciones que exige StockTrak provienen de la rotación dentro de los sleeves activos, no de las bandas.</w:t>
      </w:r>
    </w:p>
    <w:p>
      <w:pPr>
        <w:pStyle w:val="Heading2"/>
      </w:pPr>
      <w:r>
        <w:t>2.9 Política de revisión y control</w:t>
      </w:r>
    </w:p>
    <w:p>
      <w:pPr>
        <w:pStyle w:val="ListBullet"/>
      </w:pPr>
      <w:r>
        <w:t>Revisión anual del IPS y del Montecarlo con datos actualizados.</w:t>
      </w:r>
    </w:p>
    <w:p>
      <w:pPr>
        <w:pStyle w:val="ListBullet"/>
      </w:pPr>
      <w:r>
        <w:t>Revisión extraordinaria si: la probabilidad de Educación cae bajo 90%; la cartera cae más de 15% desde su máximo; el tracking error supera 4%; Tomás pierde su empleo; cambia algún objetivo.</w:t>
      </w:r>
    </w:p>
    <w:p>
      <w:pPr>
        <w:pStyle w:val="ListBullet"/>
      </w:pPr>
      <w:r>
        <w:t>Informe mensual al cliente (desempeño frente al benchmark, operaciones y riesgos) y reunión trimestral, donde los clientes participan en las decisiones tácticas.</w:t>
      </w:r>
    </w:p>
    <w:p>
      <w:r>
        <w:br w:type="page"/>
      </w:r>
    </w:p>
    <w:p>
      <w:pPr>
        <w:pStyle w:val="Heading1"/>
      </w:pPr>
      <w:r>
        <w:t>3. Estrategia de inversión</w:t>
      </w:r>
    </w:p>
    <w:p>
      <w:pPr>
        <w:pStyle w:val="Heading2"/>
      </w:pPr>
      <w:r>
        <w:t>3.1 Arquitectura núcleo-satélite</w:t>
      </w:r>
    </w:p>
    <w:p>
      <w:r>
        <w:rPr>
          <w:i w:val="0"/>
        </w:rPr>
        <w:t>El núcleo pasivo (69%) captura la prima de mercado y de plazo a bajo costo y es la base de financiamiento de largo plazo. El satélite (31%) busca primas de factores documentadas, con un presupuesto de riesgo activo acotado. Las tres estrategias se eligieron porque se complementan: Momentum aporta retorno en mercados con tendencia, Low-Volatility reduce la beta de la cartera y Momentum en commodities diversifica frente a acciones y bonos.</w:t>
      </w:r>
    </w:p>
    <w:p>
      <w:pPr>
        <w:pStyle w:val="Heading2"/>
      </w:pPr>
      <w:r>
        <w:t>3.2 Estrategias activas: evidencia y resultados</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1587"/>
            <w:shd w:val="clear" w:color="auto" w:fill="1F3A5F"/>
          </w:tcPr>
          <w:p>
            <w:r/>
            <w:r>
              <w:rPr>
                <w:b/>
                <w:color w:val="FFFFFF"/>
                <w:sz w:val="16"/>
              </w:rPr>
              <w:t>Estrategia</w:t>
            </w:r>
          </w:p>
        </w:tc>
        <w:tc>
          <w:tcPr>
            <w:tcW w:type="dxa" w:w="2835"/>
            <w:shd w:val="clear" w:color="auto" w:fill="1F3A5F"/>
          </w:tcPr>
          <w:p>
            <w:r/>
            <w:r>
              <w:rPr>
                <w:b/>
                <w:color w:val="FFFFFF"/>
                <w:sz w:val="16"/>
              </w:rPr>
              <w:t>Implementación</w:t>
            </w:r>
          </w:p>
        </w:tc>
        <w:tc>
          <w:tcPr>
            <w:tcW w:type="dxa" w:w="2381"/>
            <w:shd w:val="clear" w:color="auto" w:fill="1F3A5F"/>
          </w:tcPr>
          <w:p>
            <w:r/>
            <w:r>
              <w:rPr>
                <w:b/>
                <w:color w:val="FFFFFF"/>
                <w:sz w:val="16"/>
              </w:rPr>
              <w:t>Evidencia académica</w:t>
            </w:r>
          </w:p>
        </w:tc>
        <w:tc>
          <w:tcPr>
            <w:tcW w:type="dxa" w:w="2381"/>
            <w:shd w:val="clear" w:color="auto" w:fill="1F3A5F"/>
          </w:tcPr>
          <w:p>
            <w:r/>
            <w:r>
              <w:rPr>
                <w:b/>
                <w:color w:val="FFFFFF"/>
                <w:sz w:val="16"/>
              </w:rPr>
              <w:t>Riesgo/retorno teórico</w:t>
            </w:r>
          </w:p>
        </w:tc>
      </w:tr>
      <w:tr>
        <w:tc>
          <w:tcPr>
            <w:tcW w:type="dxa" w:w="1587"/>
          </w:tcPr>
          <w:p>
            <w:r/>
            <w:r>
              <w:rPr>
                <w:sz w:val="16"/>
              </w:rPr>
              <w:t>Momentum en acciones</w:t>
            </w:r>
          </w:p>
        </w:tc>
        <w:tc>
          <w:tcPr>
            <w:tcW w:type="dxa" w:w="2835"/>
          </w:tcPr>
          <w:p>
            <w:r/>
            <w:r>
              <w:rPr>
                <w:sz w:val="16"/>
              </w:rPr>
              <w:t>Top 10 del S&amp;P 500 por 50% retorno 6m + 50% retorno 12m; filtros de tendencia y liquidez; máx. 25% por sector; mensual</w:t>
            </w:r>
          </w:p>
        </w:tc>
        <w:tc>
          <w:tcPr>
            <w:tcW w:type="dxa" w:w="2381"/>
          </w:tcPr>
          <w:p>
            <w:r/>
            <w:r>
              <w:rPr>
                <w:sz w:val="16"/>
              </w:rPr>
              <w:t>Jegadeesh y Titman (1993); Carhart (1997); Asness, Moskowitz y Pedersen (2013); ficha en Quantpedia (s. f.-b)</w:t>
            </w:r>
          </w:p>
        </w:tc>
        <w:tc>
          <w:tcPr>
            <w:tcW w:type="dxa" w:w="2381"/>
          </w:tcPr>
          <w:p>
            <w:r/>
            <w:r>
              <w:rPr>
                <w:sz w:val="16"/>
              </w:rPr>
              <w:t>Ganadores menos perdedores ~1% mensual (J&amp;T, 1965-1989); caídas abruptas en rebotes del mercado (Daniel y Moskowitz, 2016)</w:t>
            </w:r>
          </w:p>
        </w:tc>
      </w:tr>
      <w:tr>
        <w:tc>
          <w:tcPr>
            <w:tcW w:type="dxa" w:w="1587"/>
            <w:shd w:val="clear" w:color="auto" w:fill="F2F5F9"/>
          </w:tcPr>
          <w:p>
            <w:r/>
            <w:r>
              <w:rPr>
                <w:sz w:val="16"/>
              </w:rPr>
              <w:t>Low-Volatility</w:t>
            </w:r>
          </w:p>
        </w:tc>
        <w:tc>
          <w:tcPr>
            <w:tcW w:type="dxa" w:w="2835"/>
            <w:shd w:val="clear" w:color="auto" w:fill="F2F5F9"/>
          </w:tcPr>
          <w:p>
            <w:r/>
            <w:r>
              <w:rPr>
                <w:sz w:val="16"/>
              </w:rPr>
              <w:t>Top 10 del S&amp;P 500 por menor volatilidad 12m; peso igual; máx. 25% por sector; solo compras</w:t>
            </w:r>
          </w:p>
        </w:tc>
        <w:tc>
          <w:tcPr>
            <w:tcW w:type="dxa" w:w="2381"/>
            <w:shd w:val="clear" w:color="auto" w:fill="F2F5F9"/>
          </w:tcPr>
          <w:p>
            <w:r/>
            <w:r>
              <w:rPr>
                <w:sz w:val="16"/>
              </w:rPr>
              <w:t>Haugen y Heins (1975); Ang et al. (2006); Blitz y van Vliet (2007); Baker, Bradley y Wurgler (2011)</w:t>
            </w:r>
          </w:p>
        </w:tc>
        <w:tc>
          <w:tcPr>
            <w:tcW w:type="dxa" w:w="2381"/>
            <w:shd w:val="clear" w:color="auto" w:fill="F2F5F9"/>
          </w:tcPr>
          <w:p>
            <w:r/>
            <w:r>
              <w:rPr>
                <w:sz w:val="16"/>
              </w:rPr>
              <w:t>Retorno similar al mercado con ~30% menos volatilidad; beta 0,5-0,7</w:t>
            </w:r>
          </w:p>
        </w:tc>
      </w:tr>
      <w:tr>
        <w:tc>
          <w:tcPr>
            <w:tcW w:type="dxa" w:w="1587"/>
          </w:tcPr>
          <w:p>
            <w:r/>
            <w:r>
              <w:rPr>
                <w:sz w:val="16"/>
              </w:rPr>
              <w:t>Momentum en commodities</w:t>
            </w:r>
          </w:p>
        </w:tc>
        <w:tc>
          <w:tcPr>
            <w:tcW w:type="dxa" w:w="2835"/>
          </w:tcPr>
          <w:p>
            <w:r/>
            <w:r>
              <w:rPr>
                <w:sz w:val="16"/>
              </w:rPr>
              <w:t>GLD, USO, DBA, SLV, CPER: compra los que superan filtros de tendencia 3/6/12 meses y media de 200 días, con vol. &lt; 50%</w:t>
            </w:r>
          </w:p>
        </w:tc>
        <w:tc>
          <w:tcPr>
            <w:tcW w:type="dxa" w:w="2381"/>
          </w:tcPr>
          <w:p>
            <w:r/>
            <w:r>
              <w:rPr>
                <w:sz w:val="16"/>
              </w:rPr>
              <w:t>Erb y Harvey (2006); Miffre y Rallis (2007); Moskowitz, Ooi y Pedersen (2012); ficha en Quantpedia (s. f.-a)</w:t>
            </w:r>
          </w:p>
        </w:tc>
        <w:tc>
          <w:tcPr>
            <w:tcW w:type="dxa" w:w="2381"/>
          </w:tcPr>
          <w:p>
            <w:r/>
            <w:r>
              <w:rPr>
                <w:sz w:val="16"/>
              </w:rPr>
              <w:t>Prima del orden de 9% anual en futuros (Miffre y Rallis); baja correlación con acciones y bonos</w:t>
            </w:r>
          </w:p>
        </w:tc>
      </w:tr>
    </w:tbl>
    <w:p/>
    <w:tbl>
      <w:tblPr>
        <w:tblStyle w:val="TableGrid"/>
        <w:tblW w:type="auto" w:w="0"/>
        <w:jc w:val="center"/>
        <w:tblLook w:firstColumn="1" w:firstRow="1" w:lastColumn="0" w:lastRow="0" w:noHBand="0" w:noVBand="1" w:val="04A0"/>
      </w:tblPr>
      <w:tblGrid>
        <w:gridCol w:w="1070"/>
        <w:gridCol w:w="1070"/>
        <w:gridCol w:w="1070"/>
        <w:gridCol w:w="1070"/>
        <w:gridCol w:w="1070"/>
        <w:gridCol w:w="1070"/>
        <w:gridCol w:w="1070"/>
        <w:gridCol w:w="1070"/>
        <w:gridCol w:w="1070"/>
      </w:tblGrid>
      <w:tr>
        <w:tc>
          <w:tcPr>
            <w:tcW w:type="dxa" w:w="2041"/>
            <w:shd w:val="clear" w:color="auto" w:fill="1F3A5F"/>
          </w:tcPr>
          <w:p>
            <w:r/>
            <w:r>
              <w:rPr>
                <w:b/>
                <w:color w:val="FFFFFF"/>
                <w:sz w:val="16"/>
              </w:rPr>
              <w:t>Estrategia (2016-2026)</w:t>
            </w:r>
          </w:p>
        </w:tc>
        <w:tc>
          <w:tcPr>
            <w:tcW w:type="dxa" w:w="1247"/>
            <w:shd w:val="clear" w:color="auto" w:fill="1F3A5F"/>
          </w:tcPr>
          <w:p>
            <w:r/>
            <w:r>
              <w:rPr>
                <w:b/>
                <w:color w:val="FFFFFF"/>
                <w:sz w:val="16"/>
              </w:rPr>
              <w:t>Benchmark</w:t>
            </w:r>
          </w:p>
        </w:tc>
        <w:tc>
          <w:tcPr>
            <w:tcW w:type="dxa" w:w="964"/>
            <w:shd w:val="clear" w:color="auto" w:fill="1F3A5F"/>
          </w:tcPr>
          <w:p>
            <w:r/>
            <w:r>
              <w:rPr>
                <w:b/>
                <w:color w:val="FFFFFF"/>
                <w:sz w:val="16"/>
              </w:rPr>
              <w:t>Retorno anual</w:t>
            </w:r>
          </w:p>
        </w:tc>
        <w:tc>
          <w:tcPr>
            <w:tcW w:type="dxa" w:w="964"/>
            <w:shd w:val="clear" w:color="auto" w:fill="1F3A5F"/>
          </w:tcPr>
          <w:p>
            <w:r/>
            <w:r>
              <w:rPr>
                <w:b/>
                <w:color w:val="FFFFFF"/>
                <w:sz w:val="16"/>
              </w:rPr>
              <w:t>Volatilidad</w:t>
            </w:r>
          </w:p>
        </w:tc>
        <w:tc>
          <w:tcPr>
            <w:tcW w:type="dxa" w:w="737"/>
            <w:shd w:val="clear" w:color="auto" w:fill="1F3A5F"/>
          </w:tcPr>
          <w:p>
            <w:r/>
            <w:r>
              <w:rPr>
                <w:b/>
                <w:color w:val="FFFFFF"/>
                <w:sz w:val="16"/>
              </w:rPr>
              <w:t>Sharpe</w:t>
            </w:r>
          </w:p>
        </w:tc>
        <w:tc>
          <w:tcPr>
            <w:tcW w:type="dxa" w:w="680"/>
            <w:shd w:val="clear" w:color="auto" w:fill="1F3A5F"/>
          </w:tcPr>
          <w:p>
            <w:r/>
            <w:r>
              <w:rPr>
                <w:b/>
                <w:color w:val="FFFFFF"/>
                <w:sz w:val="16"/>
              </w:rPr>
              <w:t>Beta</w:t>
            </w:r>
          </w:p>
        </w:tc>
        <w:tc>
          <w:tcPr>
            <w:tcW w:type="dxa" w:w="964"/>
            <w:shd w:val="clear" w:color="auto" w:fill="1F3A5F"/>
          </w:tcPr>
          <w:p>
            <w:r/>
            <w:r>
              <w:rPr>
                <w:b/>
                <w:color w:val="FFFFFF"/>
                <w:sz w:val="16"/>
              </w:rPr>
              <w:t>Máx. caída</w:t>
            </w:r>
          </w:p>
        </w:tc>
        <w:tc>
          <w:tcPr>
            <w:tcW w:type="dxa" w:w="737"/>
            <w:shd w:val="clear" w:color="auto" w:fill="1F3A5F"/>
          </w:tcPr>
          <w:p>
            <w:r/>
            <w:r>
              <w:rPr>
                <w:b/>
                <w:color w:val="FFFFFF"/>
                <w:sz w:val="16"/>
              </w:rPr>
              <w:t>TE</w:t>
            </w:r>
          </w:p>
        </w:tc>
        <w:tc>
          <w:tcPr>
            <w:tcW w:type="dxa" w:w="737"/>
            <w:shd w:val="clear" w:color="auto" w:fill="1F3A5F"/>
          </w:tcPr>
          <w:p>
            <w:r/>
            <w:r>
              <w:rPr>
                <w:b/>
                <w:color w:val="FFFFFF"/>
                <w:sz w:val="16"/>
              </w:rPr>
              <w:t>IR</w:t>
            </w:r>
          </w:p>
        </w:tc>
      </w:tr>
      <w:tr>
        <w:tc>
          <w:tcPr>
            <w:tcW w:type="dxa" w:w="2041"/>
          </w:tcPr>
          <w:p>
            <w:r/>
            <w:r>
              <w:rPr>
                <w:sz w:val="16"/>
              </w:rPr>
              <w:t>Momentum en acciones</w:t>
            </w:r>
          </w:p>
        </w:tc>
        <w:tc>
          <w:tcPr>
            <w:tcW w:type="dxa" w:w="1247"/>
          </w:tcPr>
          <w:p>
            <w:r/>
            <w:r>
              <w:rPr>
                <w:sz w:val="16"/>
              </w:rPr>
              <w:t>QMOM</w:t>
            </w:r>
          </w:p>
        </w:tc>
        <w:tc>
          <w:tcPr>
            <w:tcW w:type="dxa" w:w="964"/>
          </w:tcPr>
          <w:p>
            <w:r/>
            <w:r>
              <w:rPr>
                <w:sz w:val="16"/>
              </w:rPr>
              <w:t>15,0%</w:t>
            </w:r>
          </w:p>
        </w:tc>
        <w:tc>
          <w:tcPr>
            <w:tcW w:type="dxa" w:w="964"/>
          </w:tcPr>
          <w:p>
            <w:r/>
            <w:r>
              <w:rPr>
                <w:sz w:val="16"/>
              </w:rPr>
              <w:t>25,7%</w:t>
            </w:r>
          </w:p>
        </w:tc>
        <w:tc>
          <w:tcPr>
            <w:tcW w:type="dxa" w:w="737"/>
          </w:tcPr>
          <w:p>
            <w:r/>
            <w:r>
              <w:rPr>
                <w:sz w:val="16"/>
              </w:rPr>
              <w:t>0,59</w:t>
            </w:r>
          </w:p>
        </w:tc>
        <w:tc>
          <w:tcPr>
            <w:tcW w:type="dxa" w:w="680"/>
          </w:tcPr>
          <w:p>
            <w:r/>
            <w:r>
              <w:rPr>
                <w:sz w:val="16"/>
              </w:rPr>
              <w:t>1,12</w:t>
            </w:r>
          </w:p>
        </w:tc>
        <w:tc>
          <w:tcPr>
            <w:tcW w:type="dxa" w:w="964"/>
          </w:tcPr>
          <w:p>
            <w:r/>
            <w:r>
              <w:rPr>
                <w:sz w:val="16"/>
              </w:rPr>
              <w:t>-37,4%</w:t>
            </w:r>
          </w:p>
        </w:tc>
        <w:tc>
          <w:tcPr>
            <w:tcW w:type="dxa" w:w="737"/>
          </w:tcPr>
          <w:p>
            <w:r/>
            <w:r>
              <w:rPr>
                <w:sz w:val="16"/>
              </w:rPr>
              <w:t>19,0%</w:t>
            </w:r>
          </w:p>
        </w:tc>
        <w:tc>
          <w:tcPr>
            <w:tcW w:type="dxa" w:w="737"/>
          </w:tcPr>
          <w:p>
            <w:r/>
            <w:r>
              <w:rPr>
                <w:sz w:val="16"/>
              </w:rPr>
              <w:t>0,20</w:t>
            </w:r>
          </w:p>
        </w:tc>
      </w:tr>
      <w:tr>
        <w:tc>
          <w:tcPr>
            <w:tcW w:type="dxa" w:w="2041"/>
            <w:shd w:val="clear" w:color="auto" w:fill="F2F5F9"/>
          </w:tcPr>
          <w:p>
            <w:r/>
            <w:r>
              <w:rPr>
                <w:sz w:val="16"/>
              </w:rPr>
              <w:t>Low-Volatility</w:t>
            </w:r>
          </w:p>
        </w:tc>
        <w:tc>
          <w:tcPr>
            <w:tcW w:type="dxa" w:w="1247"/>
            <w:shd w:val="clear" w:color="auto" w:fill="F2F5F9"/>
          </w:tcPr>
          <w:p>
            <w:r/>
            <w:r>
              <w:rPr>
                <w:sz w:val="16"/>
              </w:rPr>
              <w:t>SPLV</w:t>
            </w:r>
          </w:p>
        </w:tc>
        <w:tc>
          <w:tcPr>
            <w:tcW w:type="dxa" w:w="964"/>
            <w:shd w:val="clear" w:color="auto" w:fill="F2F5F9"/>
          </w:tcPr>
          <w:p>
            <w:r/>
            <w:r>
              <w:rPr>
                <w:sz w:val="16"/>
              </w:rPr>
              <w:t>9,6%</w:t>
            </w:r>
          </w:p>
        </w:tc>
        <w:tc>
          <w:tcPr>
            <w:tcW w:type="dxa" w:w="964"/>
            <w:shd w:val="clear" w:color="auto" w:fill="F2F5F9"/>
          </w:tcPr>
          <w:p>
            <w:r/>
            <w:r>
              <w:rPr>
                <w:sz w:val="16"/>
              </w:rPr>
              <w:t>12,3%</w:t>
            </w:r>
          </w:p>
        </w:tc>
        <w:tc>
          <w:tcPr>
            <w:tcW w:type="dxa" w:w="737"/>
            <w:shd w:val="clear" w:color="auto" w:fill="F2F5F9"/>
          </w:tcPr>
          <w:p>
            <w:r/>
            <w:r>
              <w:rPr>
                <w:sz w:val="16"/>
              </w:rPr>
              <w:t>0,64</w:t>
            </w:r>
          </w:p>
        </w:tc>
        <w:tc>
          <w:tcPr>
            <w:tcW w:type="dxa" w:w="680"/>
            <w:shd w:val="clear" w:color="auto" w:fill="F2F5F9"/>
          </w:tcPr>
          <w:p>
            <w:r/>
            <w:r>
              <w:rPr>
                <w:sz w:val="16"/>
              </w:rPr>
              <w:t>0,51</w:t>
            </w:r>
          </w:p>
        </w:tc>
        <w:tc>
          <w:tcPr>
            <w:tcW w:type="dxa" w:w="964"/>
            <w:shd w:val="clear" w:color="auto" w:fill="F2F5F9"/>
          </w:tcPr>
          <w:p>
            <w:r/>
            <w:r>
              <w:rPr>
                <w:sz w:val="16"/>
              </w:rPr>
              <w:t>-17,8%</w:t>
            </w:r>
          </w:p>
        </w:tc>
        <w:tc>
          <w:tcPr>
            <w:tcW w:type="dxa" w:w="737"/>
            <w:shd w:val="clear" w:color="auto" w:fill="F2F5F9"/>
          </w:tcPr>
          <w:p>
            <w:r/>
            <w:r>
              <w:rPr>
                <w:sz w:val="16"/>
              </w:rPr>
              <w:t>4,4%</w:t>
            </w:r>
          </w:p>
        </w:tc>
        <w:tc>
          <w:tcPr>
            <w:tcW w:type="dxa" w:w="737"/>
            <w:shd w:val="clear" w:color="auto" w:fill="F2F5F9"/>
          </w:tcPr>
          <w:p>
            <w:r/>
            <w:r>
              <w:rPr>
                <w:sz w:val="16"/>
              </w:rPr>
              <w:t>0,18</w:t>
            </w:r>
          </w:p>
        </w:tc>
      </w:tr>
      <w:tr>
        <w:tc>
          <w:tcPr>
            <w:tcW w:type="dxa" w:w="2041"/>
          </w:tcPr>
          <w:p>
            <w:r/>
            <w:r>
              <w:rPr>
                <w:sz w:val="16"/>
              </w:rPr>
              <w:t>Momentum en commodities</w:t>
            </w:r>
          </w:p>
        </w:tc>
        <w:tc>
          <w:tcPr>
            <w:tcW w:type="dxa" w:w="1247"/>
          </w:tcPr>
          <w:p>
            <w:r/>
            <w:r>
              <w:rPr>
                <w:sz w:val="16"/>
              </w:rPr>
              <w:t>DJP</w:t>
            </w:r>
          </w:p>
        </w:tc>
        <w:tc>
          <w:tcPr>
            <w:tcW w:type="dxa" w:w="964"/>
          </w:tcPr>
          <w:p>
            <w:r/>
            <w:r>
              <w:rPr>
                <w:sz w:val="16"/>
              </w:rPr>
              <w:t>10,6%</w:t>
            </w:r>
          </w:p>
        </w:tc>
        <w:tc>
          <w:tcPr>
            <w:tcW w:type="dxa" w:w="964"/>
          </w:tcPr>
          <w:p>
            <w:r/>
            <w:r>
              <w:rPr>
                <w:sz w:val="16"/>
              </w:rPr>
              <w:t>19,2%</w:t>
            </w:r>
          </w:p>
        </w:tc>
        <w:tc>
          <w:tcPr>
            <w:tcW w:type="dxa" w:w="737"/>
          </w:tcPr>
          <w:p>
            <w:r/>
            <w:r>
              <w:rPr>
                <w:sz w:val="16"/>
              </w:rPr>
              <w:t>0,51</w:t>
            </w:r>
          </w:p>
        </w:tc>
        <w:tc>
          <w:tcPr>
            <w:tcW w:type="dxa" w:w="680"/>
          </w:tcPr>
          <w:p>
            <w:r/>
            <w:r>
              <w:rPr>
                <w:sz w:val="16"/>
              </w:rPr>
              <w:t>0,17</w:t>
            </w:r>
          </w:p>
        </w:tc>
        <w:tc>
          <w:tcPr>
            <w:tcW w:type="dxa" w:w="964"/>
          </w:tcPr>
          <w:p>
            <w:r/>
            <w:r>
              <w:rPr>
                <w:sz w:val="16"/>
              </w:rPr>
              <w:t>-31,4%</w:t>
            </w:r>
          </w:p>
        </w:tc>
        <w:tc>
          <w:tcPr>
            <w:tcW w:type="dxa" w:w="737"/>
          </w:tcPr>
          <w:p>
            <w:r/>
            <w:r>
              <w:rPr>
                <w:sz w:val="16"/>
              </w:rPr>
              <w:t>19,6%</w:t>
            </w:r>
          </w:p>
        </w:tc>
        <w:tc>
          <w:tcPr>
            <w:tcW w:type="dxa" w:w="737"/>
          </w:tcPr>
          <w:p>
            <w:r/>
            <w:r>
              <w:rPr>
                <w:sz w:val="16"/>
              </w:rPr>
              <w:t>0,12</w:t>
            </w:r>
          </w:p>
        </w:tc>
      </w:tr>
    </w:tbl>
    <w:p/>
    <w:p>
      <w:r>
        <w:rPr>
          <w:i w:val="0"/>
        </w:rPr>
        <w:t>Fundamento de los filtros: 6 y 12 meses son las ventanas de formación estándar (Jegadeesh y Titman, 1993); la media de 200 días es un filtro de tendencia clásico (Faber, 2007); el filtro de Sharpe descarta alzas con volatilidad excesiva, en la línea del control de volatilidad de Barroso y Santa-Clara (2015); el límite sectorial controla la concentración en tecnología, que además es el riesgo del capital humano de Tomás.</w:t>
      </w:r>
    </w:p>
    <w:p>
      <w:r>
        <w:rPr>
          <w:i w:val="0"/>
        </w:rPr>
        <w:t>Lo que se implementa es Low-Volatility y no Betting Against Beta: la estrategia de Frazzini y Pedersen (2014) apalanca las acciones de beta baja y vende en corto las de beta alta. Nexum no usa apalancamiento ni ventas cortas, así que su retorno proviene de la anomalía de baja volatilidad y conserva una beta de ~0,55.</w:t>
      </w:r>
    </w:p>
    <w:p>
      <w:r>
        <w:rPr>
          <w:i w:val="0"/>
        </w:rPr>
        <w:t>Discusión crítica. (i) Las primas de factores se reducen fuera de muestra y después de su publicación (McLean y Pontiff, 2016), por eso los supuestos prospectivos usan primas menores a las históricas. (ii) Momentum sufre caídas abruptas cuando el mercado rebota. (iii) Low-Volatility se concentra en utilities y REITs, sensibles a tasas; en septiembre de 2026 se observó en vivo, con la tasa a 10 años en 5,3%. (iv) Momentum en commodities es sensible a sus umbrales y su universo se amplió mirando el backtest (sección 4.4): con el universo original de 3 ETF su Sharpe cae de 0,44 a 0,23. Por eso es el sleeve con menor peso.</w:t>
      </w:r>
    </w:p>
    <w:p>
      <w:pPr>
        <w:pStyle w:val="Heading2"/>
      </w:pPr>
      <w:r>
        <w:t>3.3 Alternativas evaluadas y descartadas</w:t>
      </w:r>
    </w:p>
    <w:p>
      <w:pPr>
        <w:pStyle w:val="ListBullet"/>
      </w:pPr>
      <w:r>
        <w:t>Rotación sectorial con ETF: misma familia que Momentum (correlación ~0,67) y no mejora el Sharpe de la cartera; se pierde el rol defensivo de Low-Vol.</w:t>
      </w:r>
    </w:p>
    <w:p>
      <w:pPr>
        <w:pStyle w:val="ListBullet"/>
      </w:pPr>
      <w:r>
        <w:t>Reversión de corto plazo semanal: ~19 operaciones por semana; los costos (~10% anual a 0,1% por lado y peor con la comisión fija de StockTrak) eliminan su prima.</w:t>
      </w:r>
    </w:p>
    <w:p>
      <w:pPr>
        <w:pStyle w:val="ListBullet"/>
      </w:pPr>
      <w:r>
        <w:t>Momentum de 4 semanas y estrategias semanales: Sharpe neto de costos de 0,2 a 0,5, inferior a las estrategias mensuales.</w:t>
      </w:r>
    </w:p>
    <w:p>
      <w:pPr>
        <w:pStyle w:val="ListBullet"/>
      </w:pPr>
      <w:r>
        <w:t>Betting Against Beta: requiere apalancamiento y ventas cortas, excluidos por idoneidad.</w:t>
      </w:r>
    </w:p>
    <w:p>
      <w:r>
        <w:rPr>
          <w:i w:val="0"/>
        </w:rPr>
        <w:t>Activos adicionales evaluados (octubre de 2026). Agregar un activo cambia la asignación estratégica, por lo que exige recalibrar Black-Litterman y modificar este IPS; no es una decisión de rebalanceo. Se evaluaron los dos candidatos con datos suficientes:</w:t>
      </w:r>
    </w:p>
    <w:tbl>
      <w:tblPr>
        <w:tblStyle w:val="TableGrid"/>
        <w:tblW w:type="auto" w:w="0"/>
        <w:jc w:val="center"/>
        <w:tblLook w:firstColumn="1" w:firstRow="1" w:lastColumn="0" w:lastRow="0" w:noHBand="0" w:noVBand="1" w:val="04A0"/>
      </w:tblPr>
      <w:tblGrid>
        <w:gridCol w:w="1204"/>
        <w:gridCol w:w="1204"/>
        <w:gridCol w:w="1204"/>
        <w:gridCol w:w="1204"/>
        <w:gridCol w:w="1204"/>
        <w:gridCol w:w="1204"/>
        <w:gridCol w:w="1204"/>
        <w:gridCol w:w="1204"/>
      </w:tblGrid>
      <w:tr>
        <w:tc>
          <w:tcPr>
            <w:tcW w:type="dxa" w:w="2948"/>
            <w:shd w:val="clear" w:color="auto" w:fill="1F3A5F"/>
          </w:tcPr>
          <w:p>
            <w:r/>
            <w:r>
              <w:rPr>
                <w:b/>
                <w:color w:val="FFFFFF"/>
                <w:sz w:val="15"/>
              </w:rPr>
              <w:t>Variante</w:t>
            </w:r>
          </w:p>
        </w:tc>
        <w:tc>
          <w:tcPr>
            <w:tcW w:type="dxa" w:w="907"/>
            <w:shd w:val="clear" w:color="auto" w:fill="1F3A5F"/>
          </w:tcPr>
          <w:p>
            <w:r/>
            <w:r>
              <w:rPr>
                <w:b/>
                <w:color w:val="FFFFFF"/>
                <w:sz w:val="15"/>
              </w:rPr>
              <w:t>Retorno anual</w:t>
            </w:r>
          </w:p>
        </w:tc>
        <w:tc>
          <w:tcPr>
            <w:tcW w:type="dxa" w:w="907"/>
            <w:shd w:val="clear" w:color="auto" w:fill="1F3A5F"/>
          </w:tcPr>
          <w:p>
            <w:r/>
            <w:r>
              <w:rPr>
                <w:b/>
                <w:color w:val="FFFFFF"/>
                <w:sz w:val="15"/>
              </w:rPr>
              <w:t>Volatilidad</w:t>
            </w:r>
          </w:p>
        </w:tc>
        <w:tc>
          <w:tcPr>
            <w:tcW w:type="dxa" w:w="680"/>
            <w:shd w:val="clear" w:color="auto" w:fill="1F3A5F"/>
          </w:tcPr>
          <w:p>
            <w:r/>
            <w:r>
              <w:rPr>
                <w:b/>
                <w:color w:val="FFFFFF"/>
                <w:sz w:val="15"/>
              </w:rPr>
              <w:t>Sharpe</w:t>
            </w:r>
          </w:p>
        </w:tc>
        <w:tc>
          <w:tcPr>
            <w:tcW w:type="dxa" w:w="907"/>
            <w:shd w:val="clear" w:color="auto" w:fill="1F3A5F"/>
          </w:tcPr>
          <w:p>
            <w:r/>
            <w:r>
              <w:rPr>
                <w:b/>
                <w:color w:val="FFFFFF"/>
                <w:sz w:val="15"/>
              </w:rPr>
              <w:t>Máx. caída</w:t>
            </w:r>
          </w:p>
        </w:tc>
        <w:tc>
          <w:tcPr>
            <w:tcW w:type="dxa" w:w="680"/>
            <w:shd w:val="clear" w:color="auto" w:fill="1F3A5F"/>
          </w:tcPr>
          <w:p>
            <w:r/>
            <w:r>
              <w:rPr>
                <w:b/>
                <w:color w:val="FFFFFF"/>
                <w:sz w:val="15"/>
              </w:rPr>
              <w:t>TE</w:t>
            </w:r>
          </w:p>
        </w:tc>
        <w:tc>
          <w:tcPr>
            <w:tcW w:type="dxa" w:w="1020"/>
            <w:shd w:val="clear" w:color="auto" w:fill="1F3A5F"/>
          </w:tcPr>
          <w:p>
            <w:r/>
            <w:r>
              <w:rPr>
                <w:b/>
                <w:color w:val="FFFFFF"/>
                <w:sz w:val="15"/>
              </w:rPr>
              <w:t>P(3) histórico</w:t>
            </w:r>
          </w:p>
        </w:tc>
        <w:tc>
          <w:tcPr>
            <w:tcW w:type="dxa" w:w="1020"/>
            <w:shd w:val="clear" w:color="auto" w:fill="1F3A5F"/>
          </w:tcPr>
          <w:p>
            <w:r/>
            <w:r>
              <w:rPr>
                <w:b/>
                <w:color w:val="FFFFFF"/>
                <w:sz w:val="15"/>
              </w:rPr>
              <w:t>P(3) prospectivo</w:t>
            </w:r>
          </w:p>
        </w:tc>
      </w:tr>
      <w:tr>
        <w:tc>
          <w:tcPr>
            <w:tcW w:type="dxa" w:w="2948"/>
          </w:tcPr>
          <w:p>
            <w:r/>
            <w:r>
              <w:rPr>
                <w:sz w:val="15"/>
              </w:rPr>
              <w:t>Vigente</w:t>
            </w:r>
          </w:p>
        </w:tc>
        <w:tc>
          <w:tcPr>
            <w:tcW w:type="dxa" w:w="907"/>
          </w:tcPr>
          <w:p>
            <w:r/>
            <w:r>
              <w:rPr>
                <w:sz w:val="15"/>
              </w:rPr>
              <w:t>10,0%</w:t>
            </w:r>
          </w:p>
        </w:tc>
        <w:tc>
          <w:tcPr>
            <w:tcW w:type="dxa" w:w="907"/>
          </w:tcPr>
          <w:p>
            <w:r/>
            <w:r>
              <w:rPr>
                <w:sz w:val="15"/>
              </w:rPr>
              <w:t>9,9%</w:t>
            </w:r>
          </w:p>
        </w:tc>
        <w:tc>
          <w:tcPr>
            <w:tcW w:type="dxa" w:w="680"/>
          </w:tcPr>
          <w:p>
            <w:r/>
            <w:r>
              <w:rPr>
                <w:sz w:val="15"/>
              </w:rPr>
              <w:t>0,85</w:t>
            </w:r>
          </w:p>
        </w:tc>
        <w:tc>
          <w:tcPr>
            <w:tcW w:type="dxa" w:w="907"/>
          </w:tcPr>
          <w:p>
            <w:r/>
            <w:r>
              <w:rPr>
                <w:sz w:val="15"/>
              </w:rPr>
              <w:t>-20,5%</w:t>
            </w:r>
          </w:p>
        </w:tc>
        <w:tc>
          <w:tcPr>
            <w:tcW w:type="dxa" w:w="680"/>
          </w:tcPr>
          <w:p>
            <w:r/>
            <w:r>
              <w:rPr>
                <w:sz w:val="15"/>
              </w:rPr>
              <w:t>2,0%</w:t>
            </w:r>
          </w:p>
        </w:tc>
        <w:tc>
          <w:tcPr>
            <w:tcW w:type="dxa" w:w="1020"/>
          </w:tcPr>
          <w:p>
            <w:r/>
            <w:r>
              <w:rPr>
                <w:sz w:val="15"/>
              </w:rPr>
              <w:t>96,0%</w:t>
            </w:r>
          </w:p>
        </w:tc>
        <w:tc>
          <w:tcPr>
            <w:tcW w:type="dxa" w:w="1020"/>
          </w:tcPr>
          <w:p>
            <w:r/>
            <w:r>
              <w:rPr>
                <w:sz w:val="15"/>
              </w:rPr>
              <w:t>46,5%</w:t>
            </w:r>
          </w:p>
        </w:tc>
      </w:tr>
      <w:tr>
        <w:tc>
          <w:tcPr>
            <w:tcW w:type="dxa" w:w="2948"/>
            <w:shd w:val="clear" w:color="auto" w:fill="F2F5F9"/>
          </w:tcPr>
          <w:p>
            <w:r/>
            <w:r>
              <w:rPr>
                <w:sz w:val="15"/>
              </w:rPr>
              <w:t>Duración intermedia: 50% de la renta fija en AGG</w:t>
            </w:r>
          </w:p>
        </w:tc>
        <w:tc>
          <w:tcPr>
            <w:tcW w:type="dxa" w:w="907"/>
            <w:shd w:val="clear" w:color="auto" w:fill="F2F5F9"/>
          </w:tcPr>
          <w:p>
            <w:r/>
            <w:r>
              <w:rPr>
                <w:sz w:val="15"/>
              </w:rPr>
              <w:t>10,0%</w:t>
            </w:r>
          </w:p>
        </w:tc>
        <w:tc>
          <w:tcPr>
            <w:tcW w:type="dxa" w:w="907"/>
            <w:shd w:val="clear" w:color="auto" w:fill="F2F5F9"/>
          </w:tcPr>
          <w:p>
            <w:r/>
            <w:r>
              <w:rPr>
                <w:sz w:val="15"/>
              </w:rPr>
              <w:t>9,4%</w:t>
            </w:r>
          </w:p>
        </w:tc>
        <w:tc>
          <w:tcPr>
            <w:tcW w:type="dxa" w:w="680"/>
            <w:shd w:val="clear" w:color="auto" w:fill="F2F5F9"/>
          </w:tcPr>
          <w:p>
            <w:r/>
            <w:r>
              <w:rPr>
                <w:sz w:val="15"/>
              </w:rPr>
              <w:t>0,89</w:t>
            </w:r>
          </w:p>
        </w:tc>
        <w:tc>
          <w:tcPr>
            <w:tcW w:type="dxa" w:w="907"/>
            <w:shd w:val="clear" w:color="auto" w:fill="F2F5F9"/>
          </w:tcPr>
          <w:p>
            <w:r/>
            <w:r>
              <w:rPr>
                <w:sz w:val="15"/>
              </w:rPr>
              <w:t>-18,4%</w:t>
            </w:r>
          </w:p>
        </w:tc>
        <w:tc>
          <w:tcPr>
            <w:tcW w:type="dxa" w:w="680"/>
            <w:shd w:val="clear" w:color="auto" w:fill="F2F5F9"/>
          </w:tcPr>
          <w:p>
            <w:r/>
            <w:r>
              <w:rPr>
                <w:sz w:val="15"/>
              </w:rPr>
              <w:t>2,1%</w:t>
            </w:r>
          </w:p>
        </w:tc>
        <w:tc>
          <w:tcPr>
            <w:tcW w:type="dxa" w:w="1020"/>
            <w:shd w:val="clear" w:color="auto" w:fill="F2F5F9"/>
          </w:tcPr>
          <w:p>
            <w:r/>
            <w:r>
              <w:rPr>
                <w:sz w:val="15"/>
              </w:rPr>
              <w:t>96,8%</w:t>
            </w:r>
          </w:p>
        </w:tc>
        <w:tc>
          <w:tcPr>
            <w:tcW w:type="dxa" w:w="1020"/>
            <w:shd w:val="clear" w:color="auto" w:fill="F2F5F9"/>
          </w:tcPr>
          <w:p>
            <w:r/>
            <w:r>
              <w:rPr>
                <w:sz w:val="15"/>
              </w:rPr>
              <w:t>44,1%</w:t>
            </w:r>
          </w:p>
        </w:tc>
      </w:tr>
      <w:tr>
        <w:tc>
          <w:tcPr>
            <w:tcW w:type="dxa" w:w="2948"/>
          </w:tcPr>
          <w:p>
            <w:r/>
            <w:r>
              <w:rPr>
                <w:sz w:val="15"/>
              </w:rPr>
              <w:t>Internacional: 5 pp del S&amp;P 500 a EFA</w:t>
            </w:r>
          </w:p>
        </w:tc>
        <w:tc>
          <w:tcPr>
            <w:tcW w:type="dxa" w:w="907"/>
          </w:tcPr>
          <w:p>
            <w:r/>
            <w:r>
              <w:rPr>
                <w:sz w:val="15"/>
              </w:rPr>
              <w:t>9,6%</w:t>
            </w:r>
          </w:p>
        </w:tc>
        <w:tc>
          <w:tcPr>
            <w:tcW w:type="dxa" w:w="907"/>
          </w:tcPr>
          <w:p>
            <w:r/>
            <w:r>
              <w:rPr>
                <w:sz w:val="15"/>
              </w:rPr>
              <w:t>9,9%</w:t>
            </w:r>
          </w:p>
        </w:tc>
        <w:tc>
          <w:tcPr>
            <w:tcW w:type="dxa" w:w="680"/>
          </w:tcPr>
          <w:p>
            <w:r/>
            <w:r>
              <w:rPr>
                <w:sz w:val="15"/>
              </w:rPr>
              <w:t>0,82</w:t>
            </w:r>
          </w:p>
        </w:tc>
        <w:tc>
          <w:tcPr>
            <w:tcW w:type="dxa" w:w="907"/>
          </w:tcPr>
          <w:p>
            <w:r/>
            <w:r>
              <w:rPr>
                <w:sz w:val="15"/>
              </w:rPr>
              <w:t>-20,7%</w:t>
            </w:r>
          </w:p>
        </w:tc>
        <w:tc>
          <w:tcPr>
            <w:tcW w:type="dxa" w:w="680"/>
          </w:tcPr>
          <w:p>
            <w:r/>
            <w:r>
              <w:rPr>
                <w:sz w:val="15"/>
              </w:rPr>
              <w:t>2,0%</w:t>
            </w:r>
          </w:p>
        </w:tc>
        <w:tc>
          <w:tcPr>
            <w:tcW w:type="dxa" w:w="1020"/>
          </w:tcPr>
          <w:p>
            <w:r/>
            <w:r>
              <w:rPr>
                <w:sz w:val="15"/>
              </w:rPr>
              <w:t>94,2%</w:t>
            </w:r>
          </w:p>
        </w:tc>
        <w:tc>
          <w:tcPr>
            <w:tcW w:type="dxa" w:w="1020"/>
          </w:tcPr>
          <w:p>
            <w:r/>
            <w:r>
              <w:rPr>
                <w:sz w:val="15"/>
              </w:rPr>
              <w:t>47,2%</w:t>
            </w:r>
          </w:p>
        </w:tc>
      </w:tr>
      <w:tr>
        <w:tc>
          <w:tcPr>
            <w:tcW w:type="dxa" w:w="2948"/>
            <w:shd w:val="clear" w:color="auto" w:fill="F2F5F9"/>
          </w:tcPr>
          <w:p>
            <w:r/>
            <w:r>
              <w:rPr>
                <w:sz w:val="15"/>
              </w:rPr>
              <w:t>Ambos cambios</w:t>
            </w:r>
          </w:p>
        </w:tc>
        <w:tc>
          <w:tcPr>
            <w:tcW w:type="dxa" w:w="907"/>
            <w:shd w:val="clear" w:color="auto" w:fill="F2F5F9"/>
          </w:tcPr>
          <w:p>
            <w:r/>
            <w:r>
              <w:rPr>
                <w:sz w:val="15"/>
              </w:rPr>
              <w:t>9,7%</w:t>
            </w:r>
          </w:p>
        </w:tc>
        <w:tc>
          <w:tcPr>
            <w:tcW w:type="dxa" w:w="907"/>
            <w:shd w:val="clear" w:color="auto" w:fill="F2F5F9"/>
          </w:tcPr>
          <w:p>
            <w:r/>
            <w:r>
              <w:rPr>
                <w:sz w:val="15"/>
              </w:rPr>
              <w:t>9,4%</w:t>
            </w:r>
          </w:p>
        </w:tc>
        <w:tc>
          <w:tcPr>
            <w:tcW w:type="dxa" w:w="680"/>
            <w:shd w:val="clear" w:color="auto" w:fill="F2F5F9"/>
          </w:tcPr>
          <w:p>
            <w:r/>
            <w:r>
              <w:rPr>
                <w:sz w:val="15"/>
              </w:rPr>
              <w:t>0,87</w:t>
            </w:r>
          </w:p>
        </w:tc>
        <w:tc>
          <w:tcPr>
            <w:tcW w:type="dxa" w:w="907"/>
            <w:shd w:val="clear" w:color="auto" w:fill="F2F5F9"/>
          </w:tcPr>
          <w:p>
            <w:r/>
            <w:r>
              <w:rPr>
                <w:sz w:val="15"/>
              </w:rPr>
              <w:t>-18,6%</w:t>
            </w:r>
          </w:p>
        </w:tc>
        <w:tc>
          <w:tcPr>
            <w:tcW w:type="dxa" w:w="680"/>
            <w:shd w:val="clear" w:color="auto" w:fill="F2F5F9"/>
          </w:tcPr>
          <w:p>
            <w:r/>
            <w:r>
              <w:rPr>
                <w:sz w:val="15"/>
              </w:rPr>
              <w:t>2,2%</w:t>
            </w:r>
          </w:p>
        </w:tc>
        <w:tc>
          <w:tcPr>
            <w:tcW w:type="dxa" w:w="1020"/>
            <w:shd w:val="clear" w:color="auto" w:fill="F2F5F9"/>
          </w:tcPr>
          <w:p>
            <w:r/>
            <w:r>
              <w:rPr>
                <w:sz w:val="15"/>
              </w:rPr>
              <w:t>95,3%</w:t>
            </w:r>
          </w:p>
        </w:tc>
        <w:tc>
          <w:tcPr>
            <w:tcW w:type="dxa" w:w="1020"/>
            <w:shd w:val="clear" w:color="auto" w:fill="F2F5F9"/>
          </w:tcPr>
          <w:p>
            <w:r/>
            <w:r>
              <w:rPr>
                <w:sz w:val="15"/>
              </w:rPr>
              <w:t>44,8%</w:t>
            </w:r>
          </w:p>
        </w:tc>
      </w:tr>
    </w:tbl>
    <w:p>
      <w:r>
        <w:rPr>
          <w:i/>
          <w:sz w:val="16"/>
        </w:rPr>
        <w:t>Backtest 2013-2026 en USD. Prospectivo: supuesto propio de 2,4% real para AGG (menor duración que TLH, 2,6%) y 5,5% para EFA. Fuente: codigo/analisis_adicional.py.</w:t>
      </w:r>
    </w:p>
    <w:p>
      <w:pPr>
        <w:pStyle w:val="ListBullet"/>
      </w:pPr>
      <w:r>
        <w:rPr>
          <w:b/>
        </w:rPr>
        <w:t xml:space="preserve">Bonos de duración intermedia (AGG, proxy de VCIT o SCHP): </w:t>
      </w:r>
      <w:r>
        <w:t>bajan la volatilidad (9,9% → 9,4%) y la caída máxima, pero con supuestos prudentes la probabilidad conjunta cae de 46,5% a 44,1%, porque el plan necesita la prima por plazo. TLH además diversifica mejor que AGG frente al S&amp;P 500. Se mantiene la renta fija larga y se reevalúa en la revisión anual.</w:t>
      </w:r>
    </w:p>
    <w:p>
      <w:pPr>
        <w:pStyle w:val="ListBullet"/>
      </w:pPr>
      <w:r>
        <w:rPr>
          <w:b/>
        </w:rPr>
        <w:t xml:space="preserve">Acciones internacionales (EFA): </w:t>
      </w:r>
      <w:r>
        <w:t>correlación de 0,82 con el S&amp;P 500; en el backtest empeoran el resultado (94,2% vs 96,0%) y hacia adelante suman menos de un punto (47,2%). No justifican un cambio de política.</w:t>
      </w:r>
    </w:p>
    <w:p>
      <w:pPr>
        <w:pStyle w:val="Heading2"/>
      </w:pPr>
      <w:r>
        <w:t>3.4 Moneda funcional: USD, con simulaciones en UF y cobertura con forward</w:t>
      </w:r>
    </w:p>
    <w:p>
      <w:r>
        <w:rPr>
          <w:i w:val="0"/>
        </w:rPr>
        <w:t>La moneda funcional es el USD porque todo el universo de inversión cotiza en dólares. Las necesidades del cliente (UF/CLP) se evalúan explícitamente: el Montecarlo se presenta también en UF y, desde el 28-sep-2026, parte del riesgo cambiario de corto plazo se cubre con un forward (ver más abajo).</w:t>
      </w:r>
    </w:p>
    <w:p>
      <w:pPr>
        <w:pStyle w:val="ListBullet"/>
      </w:pPr>
      <w:r>
        <w:rPr>
          <w:b/>
        </w:rPr>
        <w:t xml:space="preserve">Cobertura natural: </w:t>
      </w:r>
      <w:r>
        <w:t>el peso se deprecia cuando caen los mercados globales (correlación S&amp;P 500 vs. USD/CLP de -0,36). En el 10% de los peores meses del S&amp;P 500 el dólar subió 2,9% en promedio: la cartera perdió -4,4% en USD pero solo -1,5% medida en pesos.</w:t>
      </w:r>
    </w:p>
    <w:p>
      <w:pPr>
        <w:pStyle w:val="ListBullet"/>
      </w:pPr>
      <w:r>
        <w:rPr>
          <w:b/>
        </w:rPr>
        <w:t xml:space="preserve">Diversificación del riesgo país: </w:t>
      </w:r>
      <w:r>
        <w:t>el capital humano y la vivienda de la familia ya están expuestos a Chile.</w:t>
      </w:r>
    </w:p>
    <w:p>
      <w:pPr>
        <w:pStyle w:val="ListBullet"/>
      </w:pPr>
      <w:r>
        <w:rPr>
          <w:b/>
        </w:rPr>
        <w:t xml:space="preserve">Costo: </w:t>
      </w:r>
      <w:r>
        <w:t>la volatilidad del USD/CLP es 12,5% anual; medida en pesos, la volatilidad de la cartera sube de 9,9% a 12,6%, y la probabilidad conjunta histórica baja de 96,0% a 89,6%. Se monitorea en cada revisión.</w:t>
      </w:r>
    </w:p>
    <w:p>
      <w:pPr>
        <w:pStyle w:val="Heading3"/>
      </w:pPr>
      <w:r>
        <w:t>Cobertura cambiaria con forward USD/CLP</w:t>
      </w:r>
    </w:p>
    <w:p>
      <w:r>
        <w:rPr>
          <w:i w:val="0"/>
        </w:rPr>
        <w:t>El 28 de septiembre de 2026 Nexum contrató un forward con BDCH: vende USD 104.000 a CLP 963,08 por dólar, con vencimiento el 30 de septiembre de 2027. El precio es el spot de CLP 967,32 menos 4,24 puntos forward. Los puntos negativos reflejan que la tasa en pesos es menor que la tasa en dólares (paridad cubierta de tasas): cubrirse cuesta 0,44% del monto, unos USD 456 si el dólar no se mueve. El contrato no se opera en StockTrak; se registra y valoriza aparte.</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2268"/>
            <w:shd w:val="clear" w:color="auto" w:fill="1F3A5F"/>
          </w:tcPr>
          <w:p>
            <w:r/>
            <w:r>
              <w:rPr>
                <w:b/>
                <w:color w:val="FFFFFF"/>
                <w:sz w:val="17"/>
              </w:rPr>
              <w:t>Dólar al vencimiento (CLP)</w:t>
            </w:r>
          </w:p>
        </w:tc>
        <w:tc>
          <w:tcPr>
            <w:tcW w:type="dxa" w:w="2268"/>
            <w:shd w:val="clear" w:color="auto" w:fill="1F3A5F"/>
          </w:tcPr>
          <w:p>
            <w:r/>
            <w:r>
              <w:rPr>
                <w:b/>
                <w:color w:val="FFFFFF"/>
                <w:sz w:val="17"/>
              </w:rPr>
              <w:t>Compensación (MM CLP)</w:t>
            </w:r>
          </w:p>
        </w:tc>
        <w:tc>
          <w:tcPr>
            <w:tcW w:type="dxa" w:w="2268"/>
            <w:shd w:val="clear" w:color="auto" w:fill="1F3A5F"/>
          </w:tcPr>
          <w:p>
            <w:r/>
            <w:r>
              <w:rPr>
                <w:b/>
                <w:color w:val="FFFFFF"/>
                <w:sz w:val="17"/>
              </w:rPr>
              <w:t>Compensación (USD)</w:t>
            </w:r>
          </w:p>
        </w:tc>
        <w:tc>
          <w:tcPr>
            <w:tcW w:type="dxa" w:w="2268"/>
            <w:shd w:val="clear" w:color="auto" w:fill="1F3A5F"/>
          </w:tcPr>
          <w:p>
            <w:r/>
            <w:r>
              <w:rPr>
                <w:b/>
                <w:color w:val="FFFFFF"/>
                <w:sz w:val="17"/>
              </w:rPr>
              <w:t>Para Nexum</w:t>
            </w:r>
          </w:p>
        </w:tc>
      </w:tr>
      <w:tr>
        <w:tc>
          <w:tcPr>
            <w:tcW w:type="dxa" w:w="2268"/>
          </w:tcPr>
          <w:p>
            <w:r/>
            <w:r>
              <w:rPr>
                <w:sz w:val="17"/>
              </w:rPr>
              <w:t>850,00</w:t>
            </w:r>
          </w:p>
        </w:tc>
        <w:tc>
          <w:tcPr>
            <w:tcW w:type="dxa" w:w="2268"/>
          </w:tcPr>
          <w:p>
            <w:r/>
            <w:r>
              <w:rPr>
                <w:sz w:val="17"/>
              </w:rPr>
              <w:t>11,76</w:t>
            </w:r>
          </w:p>
        </w:tc>
        <w:tc>
          <w:tcPr>
            <w:tcW w:type="dxa" w:w="2268"/>
          </w:tcPr>
          <w:p>
            <w:r/>
            <w:r>
              <w:rPr>
                <w:sz w:val="17"/>
              </w:rPr>
              <w:t>13.836</w:t>
            </w:r>
          </w:p>
        </w:tc>
        <w:tc>
          <w:tcPr>
            <w:tcW w:type="dxa" w:w="2268"/>
          </w:tcPr>
          <w:p>
            <w:r/>
            <w:r>
              <w:rPr>
                <w:sz w:val="17"/>
              </w:rPr>
              <w:t>Nexum recibe</w:t>
            </w:r>
          </w:p>
        </w:tc>
      </w:tr>
      <w:tr>
        <w:tc>
          <w:tcPr>
            <w:tcW w:type="dxa" w:w="2268"/>
            <w:shd w:val="clear" w:color="auto" w:fill="F2F5F9"/>
          </w:tcPr>
          <w:p>
            <w:r/>
            <w:r>
              <w:rPr>
                <w:sz w:val="17"/>
              </w:rPr>
              <w:t>900,00</w:t>
            </w:r>
          </w:p>
        </w:tc>
        <w:tc>
          <w:tcPr>
            <w:tcW w:type="dxa" w:w="2268"/>
            <w:shd w:val="clear" w:color="auto" w:fill="F2F5F9"/>
          </w:tcPr>
          <w:p>
            <w:r/>
            <w:r>
              <w:rPr>
                <w:sz w:val="17"/>
              </w:rPr>
              <w:t>6,56</w:t>
            </w:r>
          </w:p>
        </w:tc>
        <w:tc>
          <w:tcPr>
            <w:tcW w:type="dxa" w:w="2268"/>
            <w:shd w:val="clear" w:color="auto" w:fill="F2F5F9"/>
          </w:tcPr>
          <w:p>
            <w:r/>
            <w:r>
              <w:rPr>
                <w:sz w:val="17"/>
              </w:rPr>
              <w:t>7.289</w:t>
            </w:r>
          </w:p>
        </w:tc>
        <w:tc>
          <w:tcPr>
            <w:tcW w:type="dxa" w:w="2268"/>
            <w:shd w:val="clear" w:color="auto" w:fill="F2F5F9"/>
          </w:tcPr>
          <w:p>
            <w:r/>
            <w:r>
              <w:rPr>
                <w:sz w:val="17"/>
              </w:rPr>
              <w:t>Nexum recibe</w:t>
            </w:r>
          </w:p>
        </w:tc>
      </w:tr>
      <w:tr>
        <w:tc>
          <w:tcPr>
            <w:tcW w:type="dxa" w:w="2268"/>
          </w:tcPr>
          <w:p>
            <w:r/>
            <w:r>
              <w:rPr>
                <w:sz w:val="17"/>
              </w:rPr>
              <w:t>950,00</w:t>
            </w:r>
          </w:p>
        </w:tc>
        <w:tc>
          <w:tcPr>
            <w:tcW w:type="dxa" w:w="2268"/>
          </w:tcPr>
          <w:p>
            <w:r/>
            <w:r>
              <w:rPr>
                <w:sz w:val="17"/>
              </w:rPr>
              <w:t>1,36</w:t>
            </w:r>
          </w:p>
        </w:tc>
        <w:tc>
          <w:tcPr>
            <w:tcW w:type="dxa" w:w="2268"/>
          </w:tcPr>
          <w:p>
            <w:r/>
            <w:r>
              <w:rPr>
                <w:sz w:val="17"/>
              </w:rPr>
              <w:t>1.432</w:t>
            </w:r>
          </w:p>
        </w:tc>
        <w:tc>
          <w:tcPr>
            <w:tcW w:type="dxa" w:w="2268"/>
          </w:tcPr>
          <w:p>
            <w:r/>
            <w:r>
              <w:rPr>
                <w:sz w:val="17"/>
              </w:rPr>
              <w:t>Nexum recibe</w:t>
            </w:r>
          </w:p>
        </w:tc>
      </w:tr>
      <w:tr>
        <w:tc>
          <w:tcPr>
            <w:tcW w:type="dxa" w:w="2268"/>
            <w:shd w:val="clear" w:color="auto" w:fill="F2F5F9"/>
          </w:tcPr>
          <w:p>
            <w:r/>
            <w:r>
              <w:rPr>
                <w:sz w:val="17"/>
              </w:rPr>
              <w:t>963,08</w:t>
            </w:r>
          </w:p>
        </w:tc>
        <w:tc>
          <w:tcPr>
            <w:tcW w:type="dxa" w:w="2268"/>
            <w:shd w:val="clear" w:color="auto" w:fill="F2F5F9"/>
          </w:tcPr>
          <w:p>
            <w:r/>
            <w:r>
              <w:rPr>
                <w:sz w:val="17"/>
              </w:rPr>
              <w:t>0,00</w:t>
            </w:r>
          </w:p>
        </w:tc>
        <w:tc>
          <w:tcPr>
            <w:tcW w:type="dxa" w:w="2268"/>
            <w:shd w:val="clear" w:color="auto" w:fill="F2F5F9"/>
          </w:tcPr>
          <w:p>
            <w:r/>
            <w:r>
              <w:rPr>
                <w:sz w:val="17"/>
              </w:rPr>
              <w:t>0</w:t>
            </w:r>
          </w:p>
        </w:tc>
        <w:tc>
          <w:tcPr>
            <w:tcW w:type="dxa" w:w="2268"/>
            <w:shd w:val="clear" w:color="auto" w:fill="F2F5F9"/>
          </w:tcPr>
          <w:p>
            <w:r/>
            <w:r>
              <w:rPr>
                <w:sz w:val="17"/>
              </w:rPr>
              <w:t>—</w:t>
            </w:r>
          </w:p>
        </w:tc>
      </w:tr>
      <w:tr>
        <w:tc>
          <w:tcPr>
            <w:tcW w:type="dxa" w:w="2268"/>
          </w:tcPr>
          <w:p>
            <w:r/>
            <w:r>
              <w:rPr>
                <w:sz w:val="17"/>
              </w:rPr>
              <w:t>1.000,00</w:t>
            </w:r>
          </w:p>
        </w:tc>
        <w:tc>
          <w:tcPr>
            <w:tcW w:type="dxa" w:w="2268"/>
          </w:tcPr>
          <w:p>
            <w:r/>
            <w:r>
              <w:rPr>
                <w:sz w:val="17"/>
              </w:rPr>
              <w:t>-3,84</w:t>
            </w:r>
          </w:p>
        </w:tc>
        <w:tc>
          <w:tcPr>
            <w:tcW w:type="dxa" w:w="2268"/>
          </w:tcPr>
          <w:p>
            <w:r/>
            <w:r>
              <w:rPr>
                <w:sz w:val="17"/>
              </w:rPr>
              <w:t>-3.840</w:t>
            </w:r>
          </w:p>
        </w:tc>
        <w:tc>
          <w:tcPr>
            <w:tcW w:type="dxa" w:w="2268"/>
          </w:tcPr>
          <w:p>
            <w:r/>
            <w:r>
              <w:rPr>
                <w:sz w:val="17"/>
              </w:rPr>
              <w:t>Nexum paga</w:t>
            </w:r>
          </w:p>
        </w:tc>
      </w:tr>
      <w:tr>
        <w:tc>
          <w:tcPr>
            <w:tcW w:type="dxa" w:w="2268"/>
            <w:shd w:val="clear" w:color="auto" w:fill="F2F5F9"/>
          </w:tcPr>
          <w:p>
            <w:r/>
            <w:r>
              <w:rPr>
                <w:sz w:val="17"/>
              </w:rPr>
              <w:t>1.050,00</w:t>
            </w:r>
          </w:p>
        </w:tc>
        <w:tc>
          <w:tcPr>
            <w:tcW w:type="dxa" w:w="2268"/>
            <w:shd w:val="clear" w:color="auto" w:fill="F2F5F9"/>
          </w:tcPr>
          <w:p>
            <w:r/>
            <w:r>
              <w:rPr>
                <w:sz w:val="17"/>
              </w:rPr>
              <w:t>-9,04</w:t>
            </w:r>
          </w:p>
        </w:tc>
        <w:tc>
          <w:tcPr>
            <w:tcW w:type="dxa" w:w="2268"/>
            <w:shd w:val="clear" w:color="auto" w:fill="F2F5F9"/>
          </w:tcPr>
          <w:p>
            <w:r/>
            <w:r>
              <w:rPr>
                <w:sz w:val="17"/>
              </w:rPr>
              <w:t>-8.609</w:t>
            </w:r>
          </w:p>
        </w:tc>
        <w:tc>
          <w:tcPr>
            <w:tcW w:type="dxa" w:w="2268"/>
            <w:shd w:val="clear" w:color="auto" w:fill="F2F5F9"/>
          </w:tcPr>
          <w:p>
            <w:r/>
            <w:r>
              <w:rPr>
                <w:sz w:val="17"/>
              </w:rPr>
              <w:t>Nexum paga</w:t>
            </w:r>
          </w:p>
        </w:tc>
      </w:tr>
      <w:tr>
        <w:tc>
          <w:tcPr>
            <w:tcW w:type="dxa" w:w="2268"/>
          </w:tcPr>
          <w:p>
            <w:r/>
            <w:r>
              <w:rPr>
                <w:sz w:val="17"/>
              </w:rPr>
              <w:t>1.100,00</w:t>
            </w:r>
          </w:p>
        </w:tc>
        <w:tc>
          <w:tcPr>
            <w:tcW w:type="dxa" w:w="2268"/>
          </w:tcPr>
          <w:p>
            <w:r/>
            <w:r>
              <w:rPr>
                <w:sz w:val="17"/>
              </w:rPr>
              <w:t>-14,24</w:t>
            </w:r>
          </w:p>
        </w:tc>
        <w:tc>
          <w:tcPr>
            <w:tcW w:type="dxa" w:w="2268"/>
          </w:tcPr>
          <w:p>
            <w:r/>
            <w:r>
              <w:rPr>
                <w:sz w:val="17"/>
              </w:rPr>
              <w:t>-12.945</w:t>
            </w:r>
          </w:p>
        </w:tc>
        <w:tc>
          <w:tcPr>
            <w:tcW w:type="dxa" w:w="2268"/>
          </w:tcPr>
          <w:p>
            <w:r/>
            <w:r>
              <w:rPr>
                <w:sz w:val="17"/>
              </w:rPr>
              <w:t>Nexum paga</w:t>
            </w:r>
          </w:p>
        </w:tc>
      </w:tr>
    </w:tbl>
    <w:p>
      <w:r>
        <w:rPr>
          <w:i/>
          <w:sz w:val="16"/>
        </w:rPr>
        <w:t>Compensación = USD 104.000 × (precio forward − dólar al vencimiento). Si el dólar sube, Nexum paga la diferencia, pero la cartera en USD vale más en pesos; si baja, Nexum recibe la diferencia y compensa la pérdida de valor en pesos.</w:t>
      </w:r>
    </w:p>
    <w:p>
      <w:r>
        <w:rPr>
          <w:i w:val="0"/>
        </w:rPr>
        <w:t>Por qué ese monto. USD 104.000 cubren 69% del mandato (70% del valor de la cartera ese día). Como el peso se deprecia cuando caen los mercados (cobertura natural, correlación -0,39), cubrir el 100% no minimiza el riesgo en pesos: en la simulación, la volatilidad en pesos es mínima con una cobertura de ~75%, muy cerca del 70% contratado.</w:t>
      </w:r>
    </w:p>
    <w:tbl>
      <w:tblPr>
        <w:tblStyle w:val="TableGrid"/>
        <w:tblW w:type="auto" w:w="0"/>
        <w:jc w:val="center"/>
        <w:tblLook w:firstColumn="1" w:firstRow="1" w:lastColumn="0" w:lastRow="0" w:noHBand="0" w:noVBand="1" w:val="04A0"/>
      </w:tblPr>
      <w:tblGrid>
        <w:gridCol w:w="1605"/>
        <w:gridCol w:w="1605"/>
        <w:gridCol w:w="1605"/>
        <w:gridCol w:w="1605"/>
        <w:gridCol w:w="1605"/>
        <w:gridCol w:w="1605"/>
      </w:tblGrid>
      <w:tr>
        <w:tc>
          <w:tcPr>
            <w:tcW w:type="dxa" w:w="2381"/>
            <w:shd w:val="clear" w:color="auto" w:fill="1F3A5F"/>
          </w:tcPr>
          <w:p>
            <w:r/>
            <w:r>
              <w:rPr>
                <w:b/>
                <w:color w:val="FFFFFF"/>
                <w:sz w:val="17"/>
              </w:rPr>
              <w:t>Medido en</w:t>
            </w:r>
          </w:p>
        </w:tc>
        <w:tc>
          <w:tcPr>
            <w:tcW w:type="dxa" w:w="1587"/>
            <w:shd w:val="clear" w:color="auto" w:fill="1F3A5F"/>
          </w:tcPr>
          <w:p>
            <w:r/>
            <w:r>
              <w:rPr>
                <w:b/>
                <w:color w:val="FFFFFF"/>
                <w:sz w:val="17"/>
              </w:rPr>
              <w:t>Cartera</w:t>
            </w:r>
          </w:p>
        </w:tc>
        <w:tc>
          <w:tcPr>
            <w:tcW w:type="dxa" w:w="1474"/>
            <w:shd w:val="clear" w:color="auto" w:fill="1F3A5F"/>
          </w:tcPr>
          <w:p>
            <w:r/>
            <w:r>
              <w:rPr>
                <w:b/>
                <w:color w:val="FFFFFF"/>
                <w:sz w:val="17"/>
              </w:rPr>
              <w:t>Retorno medio 12 meses</w:t>
            </w:r>
          </w:p>
        </w:tc>
        <w:tc>
          <w:tcPr>
            <w:tcW w:type="dxa" w:w="1247"/>
            <w:shd w:val="clear" w:color="auto" w:fill="1F3A5F"/>
          </w:tcPr>
          <w:p>
            <w:r/>
            <w:r>
              <w:rPr>
                <w:b/>
                <w:color w:val="FFFFFF"/>
                <w:sz w:val="17"/>
              </w:rPr>
              <w:t>Volatilidad</w:t>
            </w:r>
          </w:p>
        </w:tc>
        <w:tc>
          <w:tcPr>
            <w:tcW w:type="dxa" w:w="1134"/>
            <w:shd w:val="clear" w:color="auto" w:fill="1F3A5F"/>
          </w:tcPr>
          <w:p>
            <w:r/>
            <w:r>
              <w:rPr>
                <w:b/>
                <w:color w:val="FFFFFF"/>
                <w:sz w:val="17"/>
              </w:rPr>
              <w:t>Peor 5%</w:t>
            </w:r>
          </w:p>
        </w:tc>
        <w:tc>
          <w:tcPr>
            <w:tcW w:type="dxa" w:w="1361"/>
            <w:shd w:val="clear" w:color="auto" w:fill="1F3A5F"/>
          </w:tcPr>
          <w:p>
            <w:r/>
            <w:r>
              <w:rPr>
                <w:b/>
                <w:color w:val="FFFFFF"/>
                <w:sz w:val="17"/>
              </w:rPr>
              <w:t>P(pérdida &gt; 10%)</w:t>
            </w:r>
          </w:p>
        </w:tc>
      </w:tr>
      <w:tr>
        <w:tc>
          <w:tcPr>
            <w:tcW w:type="dxa" w:w="2381"/>
          </w:tcPr>
          <w:p>
            <w:r/>
            <w:r>
              <w:rPr>
                <w:sz w:val="17"/>
              </w:rPr>
              <w:t>CLP (moneda de las metas)</w:t>
            </w:r>
          </w:p>
        </w:tc>
        <w:tc>
          <w:tcPr>
            <w:tcW w:type="dxa" w:w="1587"/>
          </w:tcPr>
          <w:p>
            <w:r/>
            <w:r>
              <w:rPr>
                <w:sz w:val="17"/>
              </w:rPr>
              <w:t>Sin cobertura</w:t>
            </w:r>
          </w:p>
        </w:tc>
        <w:tc>
          <w:tcPr>
            <w:tcW w:type="dxa" w:w="1474"/>
          </w:tcPr>
          <w:p>
            <w:r/>
            <w:r>
              <w:rPr>
                <w:sz w:val="17"/>
              </w:rPr>
              <w:t>10,9%</w:t>
            </w:r>
          </w:p>
        </w:tc>
        <w:tc>
          <w:tcPr>
            <w:tcW w:type="dxa" w:w="1247"/>
          </w:tcPr>
          <w:p>
            <w:r/>
            <w:r>
              <w:rPr>
                <w:sz w:val="17"/>
              </w:rPr>
              <w:t>13,9%</w:t>
            </w:r>
          </w:p>
        </w:tc>
        <w:tc>
          <w:tcPr>
            <w:tcW w:type="dxa" w:w="1134"/>
          </w:tcPr>
          <w:p>
            <w:r/>
            <w:r>
              <w:rPr>
                <w:sz w:val="17"/>
              </w:rPr>
              <w:t>-10,6%</w:t>
            </w:r>
          </w:p>
        </w:tc>
        <w:tc>
          <w:tcPr>
            <w:tcW w:type="dxa" w:w="1361"/>
          </w:tcPr>
          <w:p>
            <w:r/>
            <w:r>
              <w:rPr>
                <w:sz w:val="17"/>
              </w:rPr>
              <w:t>5,6%</w:t>
            </w:r>
          </w:p>
        </w:tc>
      </w:tr>
      <w:tr>
        <w:tc>
          <w:tcPr>
            <w:tcW w:type="dxa" w:w="2381"/>
            <w:shd w:val="clear" w:color="auto" w:fill="F2F5F9"/>
          </w:tcPr>
          <w:p>
            <w:r/>
            <w:r>
              <w:rPr>
                <w:sz w:val="17"/>
              </w:rPr>
              <w:t>CLP (moneda de las metas)</w:t>
            </w:r>
          </w:p>
        </w:tc>
        <w:tc>
          <w:tcPr>
            <w:tcW w:type="dxa" w:w="1587"/>
            <w:shd w:val="clear" w:color="auto" w:fill="F2F5F9"/>
          </w:tcPr>
          <w:p>
            <w:r/>
            <w:r>
              <w:rPr>
                <w:sz w:val="17"/>
              </w:rPr>
              <w:t>Con el forward</w:t>
            </w:r>
          </w:p>
        </w:tc>
        <w:tc>
          <w:tcPr>
            <w:tcW w:type="dxa" w:w="1474"/>
            <w:shd w:val="clear" w:color="auto" w:fill="F2F5F9"/>
          </w:tcPr>
          <w:p>
            <w:r/>
            <w:r>
              <w:rPr>
                <w:sz w:val="17"/>
              </w:rPr>
              <w:t>10,0%</w:t>
            </w:r>
          </w:p>
        </w:tc>
        <w:tc>
          <w:tcPr>
            <w:tcW w:type="dxa" w:w="1247"/>
            <w:shd w:val="clear" w:color="auto" w:fill="F2F5F9"/>
          </w:tcPr>
          <w:p>
            <w:r/>
            <w:r>
              <w:rPr>
                <w:sz w:val="17"/>
              </w:rPr>
              <w:t>10,3%</w:t>
            </w:r>
          </w:p>
        </w:tc>
        <w:tc>
          <w:tcPr>
            <w:tcW w:type="dxa" w:w="1134"/>
            <w:shd w:val="clear" w:color="auto" w:fill="F2F5F9"/>
          </w:tcPr>
          <w:p>
            <w:r/>
            <w:r>
              <w:rPr>
                <w:sz w:val="17"/>
              </w:rPr>
              <w:t>-6,4%</w:t>
            </w:r>
          </w:p>
        </w:tc>
        <w:tc>
          <w:tcPr>
            <w:tcW w:type="dxa" w:w="1361"/>
            <w:shd w:val="clear" w:color="auto" w:fill="F2F5F9"/>
          </w:tcPr>
          <w:p>
            <w:r/>
            <w:r>
              <w:rPr>
                <w:sz w:val="17"/>
              </w:rPr>
              <w:t>2,1%</w:t>
            </w:r>
          </w:p>
        </w:tc>
      </w:tr>
      <w:tr>
        <w:tc>
          <w:tcPr>
            <w:tcW w:type="dxa" w:w="2381"/>
          </w:tcPr>
          <w:p>
            <w:r/>
            <w:r>
              <w:rPr>
                <w:sz w:val="17"/>
              </w:rPr>
              <w:t>USD (moneda funcional)</w:t>
            </w:r>
          </w:p>
        </w:tc>
        <w:tc>
          <w:tcPr>
            <w:tcW w:type="dxa" w:w="1587"/>
          </w:tcPr>
          <w:p>
            <w:r/>
            <w:r>
              <w:rPr>
                <w:sz w:val="17"/>
              </w:rPr>
              <w:t>Sin cobertura</w:t>
            </w:r>
          </w:p>
        </w:tc>
        <w:tc>
          <w:tcPr>
            <w:tcW w:type="dxa" w:w="1474"/>
          </w:tcPr>
          <w:p>
            <w:r/>
            <w:r>
              <w:rPr>
                <w:sz w:val="17"/>
              </w:rPr>
              <w:t>10,6%</w:t>
            </w:r>
          </w:p>
        </w:tc>
        <w:tc>
          <w:tcPr>
            <w:tcW w:type="dxa" w:w="1247"/>
          </w:tcPr>
          <w:p>
            <w:r/>
            <w:r>
              <w:rPr>
                <w:sz w:val="17"/>
              </w:rPr>
              <w:t>11,0%</w:t>
            </w:r>
          </w:p>
        </w:tc>
        <w:tc>
          <w:tcPr>
            <w:tcW w:type="dxa" w:w="1134"/>
          </w:tcPr>
          <w:p>
            <w:r/>
            <w:r>
              <w:rPr>
                <w:sz w:val="17"/>
              </w:rPr>
              <w:t>-7,2%</w:t>
            </w:r>
          </w:p>
        </w:tc>
        <w:tc>
          <w:tcPr>
            <w:tcW w:type="dxa" w:w="1361"/>
          </w:tcPr>
          <w:p>
            <w:r/>
            <w:r>
              <w:rPr>
                <w:sz w:val="17"/>
              </w:rPr>
              <w:t>2,8%</w:t>
            </w:r>
          </w:p>
        </w:tc>
      </w:tr>
      <w:tr>
        <w:tc>
          <w:tcPr>
            <w:tcW w:type="dxa" w:w="2381"/>
            <w:shd w:val="clear" w:color="auto" w:fill="F2F5F9"/>
          </w:tcPr>
          <w:p>
            <w:r/>
            <w:r>
              <w:rPr>
                <w:sz w:val="17"/>
              </w:rPr>
              <w:t>USD (moneda funcional)</w:t>
            </w:r>
          </w:p>
        </w:tc>
        <w:tc>
          <w:tcPr>
            <w:tcW w:type="dxa" w:w="1587"/>
            <w:shd w:val="clear" w:color="auto" w:fill="F2F5F9"/>
          </w:tcPr>
          <w:p>
            <w:r/>
            <w:r>
              <w:rPr>
                <w:sz w:val="17"/>
              </w:rPr>
              <w:t>Con el forward</w:t>
            </w:r>
          </w:p>
        </w:tc>
        <w:tc>
          <w:tcPr>
            <w:tcW w:type="dxa" w:w="1474"/>
            <w:shd w:val="clear" w:color="auto" w:fill="F2F5F9"/>
          </w:tcPr>
          <w:p>
            <w:r/>
            <w:r>
              <w:rPr>
                <w:sz w:val="17"/>
              </w:rPr>
              <w:t>10,8%</w:t>
            </w:r>
          </w:p>
        </w:tc>
        <w:tc>
          <w:tcPr>
            <w:tcW w:type="dxa" w:w="1247"/>
            <w:shd w:val="clear" w:color="auto" w:fill="F2F5F9"/>
          </w:tcPr>
          <w:p>
            <w:r/>
            <w:r>
              <w:rPr>
                <w:sz w:val="17"/>
              </w:rPr>
              <w:t>16,4%</w:t>
            </w:r>
          </w:p>
        </w:tc>
        <w:tc>
          <w:tcPr>
            <w:tcW w:type="dxa" w:w="1134"/>
            <w:shd w:val="clear" w:color="auto" w:fill="F2F5F9"/>
          </w:tcPr>
          <w:p>
            <w:r/>
            <w:r>
              <w:rPr>
                <w:sz w:val="17"/>
              </w:rPr>
              <w:t>-15,7%</w:t>
            </w:r>
          </w:p>
        </w:tc>
        <w:tc>
          <w:tcPr>
            <w:tcW w:type="dxa" w:w="1361"/>
            <w:shd w:val="clear" w:color="auto" w:fill="F2F5F9"/>
          </w:tcPr>
          <w:p>
            <w:r/>
            <w:r>
              <w:rPr>
                <w:sz w:val="17"/>
              </w:rPr>
              <w:t>10,1%</w:t>
            </w:r>
          </w:p>
        </w:tc>
      </w:tr>
    </w:tbl>
    <w:p>
      <w:r>
        <w:rPr>
          <w:i/>
          <w:sz w:val="16"/>
        </w:rPr>
        <w:t>20.000 escenarios de 12 meses por bootstrap de los retornos mensuales conjuntos de la cartera y del USD/CLP (2013-2026), con el dólar sin tendencia. Fuente: codigo/analisis_adicional.py.</w:t>
      </w:r>
    </w:p>
    <w:p>
      <w:r>
        <w:rPr>
          <w:i w:val="0"/>
        </w:rPr>
        <w:t>Lectura. Medido en pesos, la moneda de las metas, el forward baja la volatilidad de 13,9% a 10,3% y el peor 5% de -10,6% a -6,4%. Medido en dólares, la aumenta (11,0% → 16,4%): en los peores años de la cartera el peso se deprecia y el forward se paga (en promedio USD 8.660 en el 10% de peores años). Es el costo de medir el riesgo en la moneda de las metas, que es la que importa para la familia.</w:t>
      </w:r>
    </w:p>
    <w:p>
      <w:r>
        <w:rPr>
          <w:i w:val="0"/>
        </w:rPr>
        <w:t>Liquidez. En 42% de los escenarios la compensación supera la reserva cambiaria de 2% (USD 3.000, que alcanza hasta un dólar de CLP 992); en el 5% más adverso Nexum paga ~USD 19.498. Ese pago se financia con SGOV y venta de activos en USD, que en ese mismo escenario valen más en pesos. El valor de mercado del forward se informa mensualmente y la renovación se decide al vencimiento.</w:t>
      </w:r>
    </w:p>
    <w:p>
      <w:pPr>
        <w:pStyle w:val="Heading3"/>
      </w:pPr>
      <w:r>
        <w:t>Política de cobertura por meta</w:t>
      </w:r>
    </w:p>
    <w:p>
      <w:r>
        <w:rPr>
          <w:i w:val="0"/>
        </w:rPr>
        <w:t>La cobertura se define por meta, siguiendo la lógica de calce de activos y obligaciones (Sharpe y Tint, 1990): cuánto se cubre depende de la moneda y de la cercanía de cada pago. Como toda la gestión se hace en StockTrak, que solo opera instrumentos en USD, la herramienta es el forward USD/CLP renovado al vencer cada contrato (roll-over). Lo que se paga en el contrato cuando el dólar sube no es una pérdida neta, porque los activos en USD valen más en pesos. El riesgo cambiario está incluido en la simulación: medido en UF, la probabilidad prospectiva de cumplir los tres objetivos es 45,3%, frente a 46,5% en USD.</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1928"/>
            <w:shd w:val="clear" w:color="auto" w:fill="1F3A5F"/>
          </w:tcPr>
          <w:p>
            <w:r/>
            <w:r>
              <w:rPr>
                <w:b/>
                <w:color w:val="FFFFFF"/>
                <w:sz w:val="17"/>
              </w:rPr>
              <w:t>Meta</w:t>
            </w:r>
          </w:p>
        </w:tc>
        <w:tc>
          <w:tcPr>
            <w:tcW w:type="dxa" w:w="1134"/>
            <w:shd w:val="clear" w:color="auto" w:fill="1F3A5F"/>
          </w:tcPr>
          <w:p>
            <w:r/>
            <w:r>
              <w:rPr>
                <w:b/>
                <w:color w:val="FFFFFF"/>
                <w:sz w:val="17"/>
              </w:rPr>
              <w:t>Horizonte</w:t>
            </w:r>
          </w:p>
        </w:tc>
        <w:tc>
          <w:tcPr>
            <w:tcW w:type="dxa" w:w="2608"/>
            <w:shd w:val="clear" w:color="auto" w:fill="1F3A5F"/>
          </w:tcPr>
          <w:p>
            <w:r/>
            <w:r>
              <w:rPr>
                <w:b/>
                <w:color w:val="FFFFFF"/>
                <w:sz w:val="17"/>
              </w:rPr>
              <w:t>Cobertura con forward USD/CLP renovado</w:t>
            </w:r>
          </w:p>
        </w:tc>
        <w:tc>
          <w:tcPr>
            <w:tcW w:type="dxa" w:w="3402"/>
            <w:shd w:val="clear" w:color="auto" w:fill="1F3A5F"/>
          </w:tcPr>
          <w:p>
            <w:r/>
            <w:r>
              <w:rPr>
                <w:b/>
                <w:color w:val="FFFFFF"/>
                <w:sz w:val="17"/>
              </w:rPr>
              <w:t>Fundamento</w:t>
            </w:r>
          </w:p>
        </w:tc>
      </w:tr>
      <w:tr>
        <w:tc>
          <w:tcPr>
            <w:tcW w:type="dxa" w:w="1928"/>
          </w:tcPr>
          <w:p>
            <w:r/>
            <w:r>
              <w:rPr>
                <w:sz w:val="17"/>
              </w:rPr>
              <w:t>Valor total de la cartera (hoy)</w:t>
            </w:r>
          </w:p>
        </w:tc>
        <w:tc>
          <w:tcPr>
            <w:tcW w:type="dxa" w:w="1134"/>
          </w:tcPr>
          <w:p>
            <w:r/>
            <w:r>
              <w:rPr>
                <w:sz w:val="17"/>
              </w:rPr>
              <w:t>Años 1-10</w:t>
            </w:r>
          </w:p>
        </w:tc>
        <w:tc>
          <w:tcPr>
            <w:tcW w:type="dxa" w:w="2608"/>
          </w:tcPr>
          <w:p>
            <w:r/>
            <w:r>
              <w:rPr>
                <w:sz w:val="17"/>
              </w:rPr>
              <w:t>~70% (rango 50-75%), renovado cada año</w:t>
            </w:r>
          </w:p>
        </w:tc>
        <w:tc>
          <w:tcPr>
            <w:tcW w:type="dxa" w:w="3402"/>
          </w:tcPr>
          <w:p>
            <w:r/>
            <w:r>
              <w:rPr>
                <w:sz w:val="17"/>
              </w:rPr>
              <w:t>El dólar sube cuando caen las bolsas; la parte no cubierta amortigua las caídas en pesos (Campbell, Serfaty-de Medeiros y Viceira, 2010)</w:t>
            </w:r>
          </w:p>
        </w:tc>
      </w:tr>
      <w:tr>
        <w:tc>
          <w:tcPr>
            <w:tcW w:type="dxa" w:w="1928"/>
            <w:shd w:val="clear" w:color="auto" w:fill="F2F5F9"/>
          </w:tcPr>
          <w:p>
            <w:r/>
            <w:r>
              <w:rPr>
                <w:sz w:val="17"/>
              </w:rPr>
              <w:t>Educación</w:t>
            </w:r>
          </w:p>
        </w:tc>
        <w:tc>
          <w:tcPr>
            <w:tcW w:type="dxa" w:w="1134"/>
            <w:shd w:val="clear" w:color="auto" w:fill="F2F5F9"/>
          </w:tcPr>
          <w:p>
            <w:r/>
            <w:r>
              <w:rPr>
                <w:sz w:val="17"/>
              </w:rPr>
              <w:t>Años 14-20</w:t>
            </w:r>
          </w:p>
        </w:tc>
        <w:tc>
          <w:tcPr>
            <w:tcW w:type="dxa" w:w="2608"/>
            <w:shd w:val="clear" w:color="auto" w:fill="F2F5F9"/>
          </w:tcPr>
          <w:p>
            <w:r/>
            <w:r>
              <w:rPr>
                <w:sz w:val="17"/>
              </w:rPr>
              <w:t>100% del valor presente de cada pago desde 3 años antes</w:t>
            </w:r>
          </w:p>
        </w:tc>
        <w:tc>
          <w:tcPr>
            <w:tcW w:type="dxa" w:w="3402"/>
            <w:shd w:val="clear" w:color="auto" w:fill="F2F5F9"/>
          </w:tcPr>
          <w:p>
            <w:r/>
            <w:r>
              <w:rPr>
                <w:sz w:val="17"/>
              </w:rPr>
              <w:t>Meta rígida en UF: el descalce cambiario cercano al pago no alcanza a corregirse</w:t>
            </w:r>
          </w:p>
        </w:tc>
      </w:tr>
      <w:tr>
        <w:tc>
          <w:tcPr>
            <w:tcW w:type="dxa" w:w="1928"/>
          </w:tcPr>
          <w:p>
            <w:r/>
            <w:r>
              <w:rPr>
                <w:sz w:val="17"/>
              </w:rPr>
              <w:t>Villarrica</w:t>
            </w:r>
          </w:p>
        </w:tc>
        <w:tc>
          <w:tcPr>
            <w:tcW w:type="dxa" w:w="1134"/>
          </w:tcPr>
          <w:p>
            <w:r/>
            <w:r>
              <w:rPr>
                <w:sz w:val="17"/>
              </w:rPr>
              <w:t>Año 25</w:t>
            </w:r>
          </w:p>
        </w:tc>
        <w:tc>
          <w:tcPr>
            <w:tcW w:type="dxa" w:w="2608"/>
          </w:tcPr>
          <w:p>
            <w:r/>
            <w:r>
              <w:rPr>
                <w:sz w:val="17"/>
              </w:rPr>
              <w:t>100% del valor presente del pago desde 3 años antes</w:t>
            </w:r>
          </w:p>
        </w:tc>
        <w:tc>
          <w:tcPr>
            <w:tcW w:type="dxa" w:w="3402"/>
          </w:tcPr>
          <w:p>
            <w:r/>
            <w:r>
              <w:rPr>
                <w:sz w:val="17"/>
              </w:rPr>
              <w:t>Meta en UF con fecha conocida</w:t>
            </w:r>
          </w:p>
        </w:tc>
      </w:tr>
      <w:tr>
        <w:tc>
          <w:tcPr>
            <w:tcW w:type="dxa" w:w="1928"/>
            <w:shd w:val="clear" w:color="auto" w:fill="F2F5F9"/>
          </w:tcPr>
          <w:p>
            <w:r/>
            <w:r>
              <w:rPr>
                <w:sz w:val="17"/>
              </w:rPr>
              <w:t>Herencia</w:t>
            </w:r>
          </w:p>
        </w:tc>
        <w:tc>
          <w:tcPr>
            <w:tcW w:type="dxa" w:w="1134"/>
            <w:shd w:val="clear" w:color="auto" w:fill="F2F5F9"/>
          </w:tcPr>
          <w:p>
            <w:r/>
            <w:r>
              <w:rPr>
                <w:sz w:val="17"/>
              </w:rPr>
              <w:t>Año 50</w:t>
            </w:r>
          </w:p>
        </w:tc>
        <w:tc>
          <w:tcPr>
            <w:tcW w:type="dxa" w:w="2608"/>
            <w:shd w:val="clear" w:color="auto" w:fill="F2F5F9"/>
          </w:tcPr>
          <w:p>
            <w:r/>
            <w:r>
              <w:rPr>
                <w:sz w:val="17"/>
              </w:rPr>
              <w:t>Parcial o nula</w:t>
            </w:r>
          </w:p>
        </w:tc>
        <w:tc>
          <w:tcPr>
            <w:tcW w:type="dxa" w:w="3402"/>
            <w:shd w:val="clear" w:color="auto" w:fill="F2F5F9"/>
          </w:tcPr>
          <w:p>
            <w:r/>
            <w:r>
              <w:rPr>
                <w:sz w:val="17"/>
              </w:rPr>
              <w:t>A plazos largos el peso tiende a ajustarse por la diferencia de inflación (Rogoff, 1996) y el beneficio de cubrir cae (Froot, 1993)</w:t>
            </w:r>
          </w:p>
        </w:tc>
      </w:tr>
    </w:tbl>
    <w:p/>
    <w:p>
      <w:pPr>
        <w:pStyle w:val="ListBullet"/>
      </w:pPr>
      <w:r>
        <w:rPr>
          <w:b/>
        </w:rPr>
        <w:t xml:space="preserve">Costos y riesgos que se aceptan: </w:t>
      </w:r>
      <w:r>
        <w:t>los puntos forward (0,44% del monto hoy) dependen del diferencial de tasas y se revisan en cada renovación; el contrato puede renovarse en peores condiciones; y las compensaciones exigen liquidez, que se cubre con la reserva, SGOV y el rebalanceo, sin vender acciones después de una caída.</w:t>
      </w:r>
    </w:p>
    <w:p>
      <w:pPr>
        <w:pStyle w:val="ListBullet"/>
      </w:pPr>
      <w:r>
        <w:rPr>
          <w:b/>
        </w:rPr>
        <w:t xml:space="preserve">Lo que el forward no cubre: </w:t>
      </w:r>
      <w:r>
        <w:t>la inflación chilena. Es el componente menor del riesgo frente a la UF y en el largo plazo queda recogido porque el modelo trabaja en USD reales.</w:t>
      </w:r>
    </w:p>
    <w:p>
      <w:pPr>
        <w:pStyle w:val="ListBullet"/>
      </w:pPr>
      <w:r>
        <w:rPr>
          <w:b/>
        </w:rPr>
        <w:t xml:space="preserve">Mejora para la próxima revisión del IPS: </w:t>
      </w:r>
      <w:r>
        <w:t>para los pagos fijos de Educación, un swap CLF/USD contra SOFR convertiría flujos en USD en flujos en UF a plazos largos. Se recomienda evaluarlo antes del año 11, porque es una herramienta más precisa que el forward para flujos conocidos.</w:t>
      </w:r>
    </w:p>
    <w:p>
      <w:pPr>
        <w:pStyle w:val="Heading2"/>
      </w:pPr>
      <w:r>
        <w:t>3.5 Benchmark de política</w:t>
      </w:r>
    </w:p>
    <w:tbl>
      <w:tblPr>
        <w:tblStyle w:val="TableGrid"/>
        <w:tblW w:type="auto" w:w="0"/>
        <w:jc w:val="center"/>
        <w:tblLook w:firstColumn="1" w:firstRow="1" w:lastColumn="0" w:lastRow="0" w:noHBand="0" w:noVBand="1" w:val="04A0"/>
      </w:tblPr>
      <w:tblGrid>
        <w:gridCol w:w="3211"/>
        <w:gridCol w:w="3211"/>
        <w:gridCol w:w="3211"/>
      </w:tblGrid>
      <w:tr>
        <w:tc>
          <w:tcPr>
            <w:tcW w:type="dxa" w:w="2381"/>
            <w:shd w:val="clear" w:color="auto" w:fill="1F3A5F"/>
          </w:tcPr>
          <w:p>
            <w:r/>
            <w:r>
              <w:rPr>
                <w:b/>
                <w:color w:val="FFFFFF"/>
                <w:sz w:val="17"/>
              </w:rPr>
              <w:t>Sleeve</w:t>
            </w:r>
          </w:p>
        </w:tc>
        <w:tc>
          <w:tcPr>
            <w:tcW w:type="dxa" w:w="907"/>
            <w:shd w:val="clear" w:color="auto" w:fill="1F3A5F"/>
          </w:tcPr>
          <w:p>
            <w:r/>
            <w:r>
              <w:rPr>
                <w:b/>
                <w:color w:val="FFFFFF"/>
                <w:sz w:val="17"/>
              </w:rPr>
              <w:t>Peso</w:t>
            </w:r>
          </w:p>
        </w:tc>
        <w:tc>
          <w:tcPr>
            <w:tcW w:type="dxa" w:w="5783"/>
            <w:shd w:val="clear" w:color="auto" w:fill="1F3A5F"/>
          </w:tcPr>
          <w:p>
            <w:r/>
            <w:r>
              <w:rPr>
                <w:b/>
                <w:color w:val="FFFFFF"/>
                <w:sz w:val="17"/>
              </w:rPr>
              <w:t>Benchmark (índice invertible del mismo universo)</w:t>
            </w:r>
          </w:p>
        </w:tc>
      </w:tr>
      <w:tr>
        <w:tc>
          <w:tcPr>
            <w:tcW w:type="dxa" w:w="2381"/>
          </w:tcPr>
          <w:p>
            <w:r/>
            <w:r>
              <w:rPr>
                <w:sz w:val="17"/>
              </w:rPr>
              <w:t>S&amp;P 500</w:t>
            </w:r>
          </w:p>
        </w:tc>
        <w:tc>
          <w:tcPr>
            <w:tcW w:type="dxa" w:w="907"/>
          </w:tcPr>
          <w:p>
            <w:r/>
            <w:r>
              <w:rPr>
                <w:sz w:val="17"/>
              </w:rPr>
              <w:t>37,9%</w:t>
            </w:r>
          </w:p>
        </w:tc>
        <w:tc>
          <w:tcPr>
            <w:tcW w:type="dxa" w:w="5783"/>
          </w:tcPr>
          <w:p>
            <w:r/>
            <w:r>
              <w:rPr>
                <w:sz w:val="17"/>
              </w:rPr>
              <w:t>S&amp;P 500 (SPY)</w:t>
            </w:r>
          </w:p>
        </w:tc>
      </w:tr>
      <w:tr>
        <w:tc>
          <w:tcPr>
            <w:tcW w:type="dxa" w:w="2381"/>
            <w:shd w:val="clear" w:color="auto" w:fill="F2F5F9"/>
          </w:tcPr>
          <w:p>
            <w:r/>
            <w:r>
              <w:rPr>
                <w:sz w:val="17"/>
              </w:rPr>
              <w:t>Tesoro 10-20 años</w:t>
            </w:r>
          </w:p>
        </w:tc>
        <w:tc>
          <w:tcPr>
            <w:tcW w:type="dxa" w:w="907"/>
            <w:shd w:val="clear" w:color="auto" w:fill="F2F5F9"/>
          </w:tcPr>
          <w:p>
            <w:r/>
            <w:r>
              <w:rPr>
                <w:sz w:val="17"/>
              </w:rPr>
              <w:t>16,9%</w:t>
            </w:r>
          </w:p>
        </w:tc>
        <w:tc>
          <w:tcPr>
            <w:tcW w:type="dxa" w:w="5783"/>
            <w:shd w:val="clear" w:color="auto" w:fill="F2F5F9"/>
          </w:tcPr>
          <w:p>
            <w:r/>
            <w:r>
              <w:rPr>
                <w:sz w:val="17"/>
              </w:rPr>
              <w:t>ICE U.S. Treasury 10-20 Year Index (TLH)</w:t>
            </w:r>
          </w:p>
        </w:tc>
      </w:tr>
      <w:tr>
        <w:tc>
          <w:tcPr>
            <w:tcW w:type="dxa" w:w="2381"/>
          </w:tcPr>
          <w:p>
            <w:r/>
            <w:r>
              <w:rPr>
                <w:sz w:val="17"/>
              </w:rPr>
              <w:t>Corporativos largo plazo</w:t>
            </w:r>
          </w:p>
        </w:tc>
        <w:tc>
          <w:tcPr>
            <w:tcW w:type="dxa" w:w="907"/>
          </w:tcPr>
          <w:p>
            <w:r/>
            <w:r>
              <w:rPr>
                <w:sz w:val="17"/>
              </w:rPr>
              <w:t>14,6%</w:t>
            </w:r>
          </w:p>
        </w:tc>
        <w:tc>
          <w:tcPr>
            <w:tcW w:type="dxa" w:w="5783"/>
          </w:tcPr>
          <w:p>
            <w:r/>
            <w:r>
              <w:rPr>
                <w:sz w:val="17"/>
              </w:rPr>
              <w:t>Bloomberg U.S. Long Corporate Index (VCLT)</w:t>
            </w:r>
          </w:p>
        </w:tc>
      </w:tr>
      <w:tr>
        <w:tc>
          <w:tcPr>
            <w:tcW w:type="dxa" w:w="2381"/>
            <w:shd w:val="clear" w:color="auto" w:fill="F2F5F9"/>
          </w:tcPr>
          <w:p>
            <w:r/>
            <w:r>
              <w:rPr>
                <w:sz w:val="17"/>
              </w:rPr>
              <w:t>Momentum en acciones</w:t>
            </w:r>
          </w:p>
        </w:tc>
        <w:tc>
          <w:tcPr>
            <w:tcW w:type="dxa" w:w="907"/>
            <w:shd w:val="clear" w:color="auto" w:fill="F2F5F9"/>
          </w:tcPr>
          <w:p>
            <w:r/>
            <w:r>
              <w:rPr>
                <w:sz w:val="17"/>
              </w:rPr>
              <w:t>7,1%</w:t>
            </w:r>
          </w:p>
        </w:tc>
        <w:tc>
          <w:tcPr>
            <w:tcW w:type="dxa" w:w="5783"/>
            <w:shd w:val="clear" w:color="auto" w:fill="F2F5F9"/>
          </w:tcPr>
          <w:p>
            <w:r/>
            <w:r>
              <w:rPr>
                <w:sz w:val="17"/>
              </w:rPr>
              <w:t>Alpha Architect U.S. Quantitative Momentum (QMOM)</w:t>
            </w:r>
          </w:p>
        </w:tc>
      </w:tr>
      <w:tr>
        <w:tc>
          <w:tcPr>
            <w:tcW w:type="dxa" w:w="2381"/>
          </w:tcPr>
          <w:p>
            <w:r/>
            <w:r>
              <w:rPr>
                <w:sz w:val="17"/>
              </w:rPr>
              <w:t>Low-Volatility</w:t>
            </w:r>
          </w:p>
        </w:tc>
        <w:tc>
          <w:tcPr>
            <w:tcW w:type="dxa" w:w="907"/>
          </w:tcPr>
          <w:p>
            <w:r/>
            <w:r>
              <w:rPr>
                <w:sz w:val="17"/>
              </w:rPr>
              <w:t>17,5%</w:t>
            </w:r>
          </w:p>
        </w:tc>
        <w:tc>
          <w:tcPr>
            <w:tcW w:type="dxa" w:w="5783"/>
          </w:tcPr>
          <w:p>
            <w:r/>
            <w:r>
              <w:rPr>
                <w:sz w:val="17"/>
              </w:rPr>
              <w:t>S&amp;P 500 Low Volatility Index (SPLV)</w:t>
            </w:r>
          </w:p>
        </w:tc>
      </w:tr>
      <w:tr>
        <w:tc>
          <w:tcPr>
            <w:tcW w:type="dxa" w:w="2381"/>
            <w:shd w:val="clear" w:color="auto" w:fill="F2F5F9"/>
          </w:tcPr>
          <w:p>
            <w:r/>
            <w:r>
              <w:rPr>
                <w:sz w:val="17"/>
              </w:rPr>
              <w:t>Momentum en commodities</w:t>
            </w:r>
          </w:p>
        </w:tc>
        <w:tc>
          <w:tcPr>
            <w:tcW w:type="dxa" w:w="907"/>
            <w:shd w:val="clear" w:color="auto" w:fill="F2F5F9"/>
          </w:tcPr>
          <w:p>
            <w:r/>
            <w:r>
              <w:rPr>
                <w:sz w:val="17"/>
              </w:rPr>
              <w:t>6,1%</w:t>
            </w:r>
          </w:p>
        </w:tc>
        <w:tc>
          <w:tcPr>
            <w:tcW w:type="dxa" w:w="5783"/>
            <w:shd w:val="clear" w:color="auto" w:fill="F2F5F9"/>
          </w:tcPr>
          <w:p>
            <w:r/>
            <w:r>
              <w:rPr>
                <w:sz w:val="17"/>
              </w:rPr>
              <w:t>Bloomberg Commodity Index Total Return (DJP)</w:t>
            </w:r>
          </w:p>
        </w:tc>
      </w:tr>
    </w:tbl>
    <w:p>
      <w:r>
        <w:rPr>
          <w:i/>
          <w:sz w:val="16"/>
        </w:rPr>
        <w:t>Benchmark compuesto ponderado por la asignación estratégica y expresado en USD. Reemplaza la tasa de política de la Fed y el MSCI ACWI de la versión anterior, que no eran invertibles ni representaban el universo. Limitación: QMOM existe desde dic-2015, por lo que las métricas relativas usan 2016-2026.</w:t>
      </w:r>
    </w:p>
    <w:p>
      <w:pPr>
        <w:pStyle w:val="Heading3"/>
      </w:pPr>
      <w:r>
        <w:t>Benchmark por clase de activo</w:t>
      </w:r>
    </w:p>
    <w:p>
      <w:r>
        <w:rPr>
          <w:i w:val="0"/>
        </w:rPr>
        <w:t>El benchmark por sleeve mide si cada estrategia cumple su regla. El benchmark por clase de activo responde otra pregunta: si las decisiones dentro de cada clase (factores en renta variable, duración en renta fija, señal en commodities) agregan valor frente al índice amplio de esa clase. Cada clase se compara con un índice invertible del mismo universo:</w:t>
      </w:r>
    </w:p>
    <w:tbl>
      <w:tblPr>
        <w:tblStyle w:val="TableGrid"/>
        <w:tblW w:type="auto" w:w="0"/>
        <w:jc w:val="center"/>
        <w:tblLook w:firstColumn="1" w:firstRow="1" w:lastColumn="0" w:lastRow="0" w:noHBand="0" w:noVBand="1" w:val="04A0"/>
      </w:tblPr>
      <w:tblGrid>
        <w:gridCol w:w="1204"/>
        <w:gridCol w:w="1204"/>
        <w:gridCol w:w="1204"/>
        <w:gridCol w:w="1204"/>
        <w:gridCol w:w="1204"/>
        <w:gridCol w:w="1204"/>
        <w:gridCol w:w="1204"/>
        <w:gridCol w:w="1204"/>
      </w:tblGrid>
      <w:tr>
        <w:tc>
          <w:tcPr>
            <w:tcW w:type="dxa" w:w="1701"/>
            <w:shd w:val="clear" w:color="auto" w:fill="1F3A5F"/>
          </w:tcPr>
          <w:p>
            <w:r/>
            <w:r>
              <w:rPr>
                <w:b/>
                <w:color w:val="FFFFFF"/>
                <w:sz w:val="15"/>
              </w:rPr>
              <w:t>Clase (peso)</w:t>
            </w:r>
          </w:p>
        </w:tc>
        <w:tc>
          <w:tcPr>
            <w:tcW w:type="dxa" w:w="1871"/>
            <w:shd w:val="clear" w:color="auto" w:fill="1F3A5F"/>
          </w:tcPr>
          <w:p>
            <w:r/>
            <w:r>
              <w:rPr>
                <w:b/>
                <w:color w:val="FFFFFF"/>
                <w:sz w:val="15"/>
              </w:rPr>
              <w:t>Benchmark</w:t>
            </w:r>
          </w:p>
        </w:tc>
        <w:tc>
          <w:tcPr>
            <w:tcW w:type="dxa" w:w="850"/>
            <w:shd w:val="clear" w:color="auto" w:fill="1F3A5F"/>
          </w:tcPr>
          <w:p>
            <w:r/>
            <w:r>
              <w:rPr>
                <w:b/>
                <w:color w:val="FFFFFF"/>
                <w:sz w:val="15"/>
              </w:rPr>
              <w:t>Retorno Nexum</w:t>
            </w:r>
          </w:p>
        </w:tc>
        <w:tc>
          <w:tcPr>
            <w:tcW w:type="dxa" w:w="907"/>
            <w:shd w:val="clear" w:color="auto" w:fill="1F3A5F"/>
          </w:tcPr>
          <w:p>
            <w:r/>
            <w:r>
              <w:rPr>
                <w:b/>
                <w:color w:val="FFFFFF"/>
                <w:sz w:val="15"/>
              </w:rPr>
              <w:t>Retorno benchmark</w:t>
            </w:r>
          </w:p>
        </w:tc>
        <w:tc>
          <w:tcPr>
            <w:tcW w:type="dxa" w:w="1134"/>
            <w:shd w:val="clear" w:color="auto" w:fill="1F3A5F"/>
          </w:tcPr>
          <w:p>
            <w:r/>
            <w:r>
              <w:rPr>
                <w:b/>
                <w:color w:val="FFFFFF"/>
                <w:sz w:val="15"/>
              </w:rPr>
              <w:t>Vol. Nexum / benchmark</w:t>
            </w:r>
          </w:p>
        </w:tc>
        <w:tc>
          <w:tcPr>
            <w:tcW w:type="dxa" w:w="1247"/>
            <w:shd w:val="clear" w:color="auto" w:fill="1F3A5F"/>
          </w:tcPr>
          <w:p>
            <w:r/>
            <w:r>
              <w:rPr>
                <w:b/>
                <w:color w:val="FFFFFF"/>
                <w:sz w:val="15"/>
              </w:rPr>
              <w:t>Máx. caída Nexum / benchmark</w:t>
            </w:r>
          </w:p>
        </w:tc>
        <w:tc>
          <w:tcPr>
            <w:tcW w:type="dxa" w:w="624"/>
            <w:shd w:val="clear" w:color="auto" w:fill="1F3A5F"/>
          </w:tcPr>
          <w:p>
            <w:r/>
            <w:r>
              <w:rPr>
                <w:b/>
                <w:color w:val="FFFFFF"/>
                <w:sz w:val="15"/>
              </w:rPr>
              <w:t>TE</w:t>
            </w:r>
          </w:p>
        </w:tc>
        <w:tc>
          <w:tcPr>
            <w:tcW w:type="dxa" w:w="907"/>
            <w:shd w:val="clear" w:color="auto" w:fill="1F3A5F"/>
          </w:tcPr>
          <w:p>
            <w:r/>
            <w:r>
              <w:rPr>
                <w:b/>
                <w:color w:val="FFFFFF"/>
                <w:sz w:val="15"/>
              </w:rPr>
              <w:t>Aporte al retorno activo</w:t>
            </w:r>
          </w:p>
        </w:tc>
      </w:tr>
      <w:tr>
        <w:tc>
          <w:tcPr>
            <w:tcW w:type="dxa" w:w="1701"/>
          </w:tcPr>
          <w:p>
            <w:r/>
            <w:r>
              <w:rPr>
                <w:sz w:val="15"/>
              </w:rPr>
              <w:t>Renta variable EE.UU. (62,4%)</w:t>
            </w:r>
          </w:p>
        </w:tc>
        <w:tc>
          <w:tcPr>
            <w:tcW w:type="dxa" w:w="1871"/>
          </w:tcPr>
          <w:p>
            <w:r/>
            <w:r>
              <w:rPr>
                <w:sz w:val="15"/>
              </w:rPr>
              <w:t>S&amp;P 500 (SPY)</w:t>
            </w:r>
          </w:p>
        </w:tc>
        <w:tc>
          <w:tcPr>
            <w:tcW w:type="dxa" w:w="850"/>
          </w:tcPr>
          <w:p>
            <w:r/>
            <w:r>
              <w:rPr>
                <w:sz w:val="15"/>
              </w:rPr>
              <w:t>13,9%</w:t>
            </w:r>
          </w:p>
        </w:tc>
        <w:tc>
          <w:tcPr>
            <w:tcW w:type="dxa" w:w="907"/>
          </w:tcPr>
          <w:p>
            <w:r/>
            <w:r>
              <w:rPr>
                <w:sz w:val="15"/>
              </w:rPr>
              <w:t>15,1%</w:t>
            </w:r>
          </w:p>
        </w:tc>
        <w:tc>
          <w:tcPr>
            <w:tcW w:type="dxa" w:w="1134"/>
          </w:tcPr>
          <w:p>
            <w:r/>
            <w:r>
              <w:rPr>
                <w:sz w:val="15"/>
              </w:rPr>
              <w:t>13,7% / 15,1%</w:t>
            </w:r>
          </w:p>
        </w:tc>
        <w:tc>
          <w:tcPr>
            <w:tcW w:type="dxa" w:w="1247"/>
          </w:tcPr>
          <w:p>
            <w:r/>
            <w:r>
              <w:rPr>
                <w:sz w:val="15"/>
              </w:rPr>
              <w:t>-19,5% / -23,9%</w:t>
            </w:r>
          </w:p>
        </w:tc>
        <w:tc>
          <w:tcPr>
            <w:tcW w:type="dxa" w:w="624"/>
          </w:tcPr>
          <w:p>
            <w:r/>
            <w:r>
              <w:rPr>
                <w:sz w:val="15"/>
              </w:rPr>
              <w:t>4,0%</w:t>
            </w:r>
          </w:p>
        </w:tc>
        <w:tc>
          <w:tcPr>
            <w:tcW w:type="dxa" w:w="907"/>
          </w:tcPr>
          <w:p>
            <w:r/>
            <w:r>
              <w:rPr>
                <w:sz w:val="15"/>
              </w:rPr>
              <w:t>-0,79 pp</w:t>
            </w:r>
          </w:p>
        </w:tc>
      </w:tr>
      <w:tr>
        <w:tc>
          <w:tcPr>
            <w:tcW w:type="dxa" w:w="1701"/>
            <w:shd w:val="clear" w:color="auto" w:fill="F2F5F9"/>
          </w:tcPr>
          <w:p>
            <w:r/>
            <w:r>
              <w:rPr>
                <w:sz w:val="15"/>
              </w:rPr>
              <w:t>Renta fija larga EE.UU. (31,5%)</w:t>
            </w:r>
          </w:p>
        </w:tc>
        <w:tc>
          <w:tcPr>
            <w:tcW w:type="dxa" w:w="1871"/>
            <w:shd w:val="clear" w:color="auto" w:fill="F2F5F9"/>
          </w:tcPr>
          <w:p>
            <w:r/>
            <w:r>
              <w:rPr>
                <w:sz w:val="15"/>
              </w:rPr>
              <w:t>Bloomberg U.S. Long Government/Credit (proxy: 50% TLH + 50% VCLT)</w:t>
            </w:r>
          </w:p>
        </w:tc>
        <w:tc>
          <w:tcPr>
            <w:tcW w:type="dxa" w:w="850"/>
            <w:shd w:val="clear" w:color="auto" w:fill="F2F5F9"/>
          </w:tcPr>
          <w:p>
            <w:r/>
            <w:r>
              <w:rPr>
                <w:sz w:val="15"/>
              </w:rPr>
              <w:t>1,3%</w:t>
            </w:r>
          </w:p>
        </w:tc>
        <w:tc>
          <w:tcPr>
            <w:tcW w:type="dxa" w:w="907"/>
            <w:shd w:val="clear" w:color="auto" w:fill="F2F5F9"/>
          </w:tcPr>
          <w:p>
            <w:r/>
            <w:r>
              <w:rPr>
                <w:sz w:val="15"/>
              </w:rPr>
              <w:t>1,4%</w:t>
            </w:r>
          </w:p>
        </w:tc>
        <w:tc>
          <w:tcPr>
            <w:tcW w:type="dxa" w:w="1134"/>
            <w:shd w:val="clear" w:color="auto" w:fill="F2F5F9"/>
          </w:tcPr>
          <w:p>
            <w:r/>
            <w:r>
              <w:rPr>
                <w:sz w:val="15"/>
              </w:rPr>
              <w:t>10,5% / 10,6%</w:t>
            </w:r>
          </w:p>
        </w:tc>
        <w:tc>
          <w:tcPr>
            <w:tcW w:type="dxa" w:w="1247"/>
            <w:shd w:val="clear" w:color="auto" w:fill="F2F5F9"/>
          </w:tcPr>
          <w:p>
            <w:r/>
            <w:r>
              <w:rPr>
                <w:sz w:val="15"/>
              </w:rPr>
              <w:t>-36,0% / -35,7%</w:t>
            </w:r>
          </w:p>
        </w:tc>
        <w:tc>
          <w:tcPr>
            <w:tcW w:type="dxa" w:w="624"/>
            <w:shd w:val="clear" w:color="auto" w:fill="F2F5F9"/>
          </w:tcPr>
          <w:p>
            <w:r/>
            <w:r>
              <w:rPr>
                <w:sz w:val="15"/>
              </w:rPr>
              <w:t>0,3%</w:t>
            </w:r>
          </w:p>
        </w:tc>
        <w:tc>
          <w:tcPr>
            <w:tcW w:type="dxa" w:w="907"/>
            <w:shd w:val="clear" w:color="auto" w:fill="F2F5F9"/>
          </w:tcPr>
          <w:p>
            <w:r/>
            <w:r>
              <w:rPr>
                <w:sz w:val="15"/>
              </w:rPr>
              <w:t>-0,04 pp</w:t>
            </w:r>
          </w:p>
        </w:tc>
      </w:tr>
      <w:tr>
        <w:tc>
          <w:tcPr>
            <w:tcW w:type="dxa" w:w="1701"/>
          </w:tcPr>
          <w:p>
            <w:r/>
            <w:r>
              <w:rPr>
                <w:sz w:val="15"/>
              </w:rPr>
              <w:t>Commodities (6,1%)</w:t>
            </w:r>
          </w:p>
        </w:tc>
        <w:tc>
          <w:tcPr>
            <w:tcW w:type="dxa" w:w="1871"/>
          </w:tcPr>
          <w:p>
            <w:r/>
            <w:r>
              <w:rPr>
                <w:sz w:val="15"/>
              </w:rPr>
              <w:t>Bloomberg Commodity Index TR (DJP)</w:t>
            </w:r>
          </w:p>
        </w:tc>
        <w:tc>
          <w:tcPr>
            <w:tcW w:type="dxa" w:w="850"/>
          </w:tcPr>
          <w:p>
            <w:r/>
            <w:r>
              <w:rPr>
                <w:sz w:val="15"/>
              </w:rPr>
              <w:t>10,6%</w:t>
            </w:r>
          </w:p>
        </w:tc>
        <w:tc>
          <w:tcPr>
            <w:tcW w:type="dxa" w:w="907"/>
          </w:tcPr>
          <w:p>
            <w:r/>
            <w:r>
              <w:rPr>
                <w:sz w:val="15"/>
              </w:rPr>
              <w:t>8,5%</w:t>
            </w:r>
          </w:p>
        </w:tc>
        <w:tc>
          <w:tcPr>
            <w:tcW w:type="dxa" w:w="1134"/>
          </w:tcPr>
          <w:p>
            <w:r/>
            <w:r>
              <w:rPr>
                <w:sz w:val="15"/>
              </w:rPr>
              <w:t>19,2% / 16,3%</w:t>
            </w:r>
          </w:p>
        </w:tc>
        <w:tc>
          <w:tcPr>
            <w:tcW w:type="dxa" w:w="1247"/>
          </w:tcPr>
          <w:p>
            <w:r/>
            <w:r>
              <w:rPr>
                <w:sz w:val="15"/>
              </w:rPr>
              <w:t>-31,4% / -36,2%</w:t>
            </w:r>
          </w:p>
        </w:tc>
        <w:tc>
          <w:tcPr>
            <w:tcW w:type="dxa" w:w="624"/>
          </w:tcPr>
          <w:p>
            <w:r/>
            <w:r>
              <w:rPr>
                <w:sz w:val="15"/>
              </w:rPr>
              <w:t>19,6%</w:t>
            </w:r>
          </w:p>
        </w:tc>
        <w:tc>
          <w:tcPr>
            <w:tcW w:type="dxa" w:w="907"/>
          </w:tcPr>
          <w:p>
            <w:r/>
            <w:r>
              <w:rPr>
                <w:sz w:val="15"/>
              </w:rPr>
              <w:t>0,15 pp</w:t>
            </w:r>
          </w:p>
        </w:tc>
      </w:tr>
      <w:tr>
        <w:tc>
          <w:tcPr>
            <w:tcW w:type="dxa" w:w="1701"/>
            <w:shd w:val="clear" w:color="auto" w:fill="F2F5F9"/>
          </w:tcPr>
          <w:p>
            <w:r/>
            <w:r>
              <w:rPr>
                <w:sz w:val="15"/>
              </w:rPr>
              <w:t>Liquidez (reserva 4%)</w:t>
            </w:r>
          </w:p>
        </w:tc>
        <w:tc>
          <w:tcPr>
            <w:tcW w:type="dxa" w:w="1871"/>
            <w:shd w:val="clear" w:color="auto" w:fill="F2F5F9"/>
          </w:tcPr>
          <w:p>
            <w:r/>
            <w:r>
              <w:rPr>
                <w:sz w:val="15"/>
              </w:rPr>
              <w:t>T-Bills 0-3 meses (BIL/SGOV)</w:t>
            </w:r>
          </w:p>
        </w:tc>
        <w:tc>
          <w:tcPr>
            <w:tcW w:type="dxa" w:w="850"/>
            <w:shd w:val="clear" w:color="auto" w:fill="F2F5F9"/>
          </w:tcPr>
          <w:p>
            <w:r/>
            <w:r>
              <w:rPr>
                <w:sz w:val="15"/>
              </w:rPr>
              <w:t>—</w:t>
            </w:r>
          </w:p>
        </w:tc>
        <w:tc>
          <w:tcPr>
            <w:tcW w:type="dxa" w:w="907"/>
            <w:shd w:val="clear" w:color="auto" w:fill="F2F5F9"/>
          </w:tcPr>
          <w:p>
            <w:r/>
            <w:r>
              <w:rPr>
                <w:sz w:val="15"/>
              </w:rPr>
              <w:t>—</w:t>
            </w:r>
          </w:p>
        </w:tc>
        <w:tc>
          <w:tcPr>
            <w:tcW w:type="dxa" w:w="1134"/>
            <w:shd w:val="clear" w:color="auto" w:fill="F2F5F9"/>
          </w:tcPr>
          <w:p>
            <w:r/>
            <w:r>
              <w:rPr>
                <w:sz w:val="15"/>
              </w:rPr>
              <w:t>—</w:t>
            </w:r>
          </w:p>
        </w:tc>
        <w:tc>
          <w:tcPr>
            <w:tcW w:type="dxa" w:w="1247"/>
            <w:shd w:val="clear" w:color="auto" w:fill="F2F5F9"/>
          </w:tcPr>
          <w:p>
            <w:r/>
            <w:r>
              <w:rPr>
                <w:sz w:val="15"/>
              </w:rPr>
              <w:t>—</w:t>
            </w:r>
          </w:p>
        </w:tc>
        <w:tc>
          <w:tcPr>
            <w:tcW w:type="dxa" w:w="624"/>
            <w:shd w:val="clear" w:color="auto" w:fill="F2F5F9"/>
          </w:tcPr>
          <w:p>
            <w:r/>
            <w:r>
              <w:rPr>
                <w:sz w:val="15"/>
              </w:rPr>
              <w:t>—</w:t>
            </w:r>
          </w:p>
        </w:tc>
        <w:tc>
          <w:tcPr>
            <w:tcW w:type="dxa" w:w="907"/>
            <w:shd w:val="clear" w:color="auto" w:fill="F2F5F9"/>
          </w:tcPr>
          <w:p>
            <w:r/>
            <w:r>
              <w:rPr>
                <w:sz w:val="15"/>
              </w:rPr>
              <w:t>fuera de la asignación</w:t>
            </w:r>
          </w:p>
        </w:tc>
      </w:tr>
    </w:tbl>
    <w:p>
      <w:r>
        <w:rPr>
          <w:i/>
          <w:sz w:val="16"/>
        </w:rPr>
        <w:t>2016-2026, USD. Renta fija: 50% TLH + 50% VCLT como proxy invertible del Bloomberg U.S. Long Government/Credit (BLV no está en la base de datos). Commodities: Bloomberg Commodity Index Total Return, vía el ETN DJP (24 materias primas en energía, metales y agricultura). Fuente: codigo/analisis_adicional.py.</w:t>
      </w:r>
    </w:p>
    <w:p>
      <w:r>
        <w:rPr>
          <w:i w:val="0"/>
        </w:rPr>
        <w:t>Lectura. El benchmark por clase rindió 10,5% anual frente a 9,9% de Nexum (tracking error 2,9%, dentro del objetivo de 3%). Casi toda la diferencia viene de la renta variable: Low-Volatility y Momentum rindieron 1,26 puntos menos al año que el S&amp;P 500 en una década excepcional para el índice, pero con menos volatilidad (13,7% vs 15,1%), una caída máxima menor (-19,5% vs -23,9%) y el mismo Sharpe (0,87 vs 0,87). Es decir, el satélite de renta variable cumplió su función de bajar el riesgo, no de superar al índice. La renta fija es pasiva y replica su benchmark (TE 0,3%). En 2013-2026 el resultado es similar (10,0% vs 10,1%), con un aporte positivo de commodities.</w:t>
      </w:r>
    </w:p>
    <w:p>
      <w:r>
        <w:rPr>
          <w:i w:val="0"/>
        </w:rPr>
        <w:t>Decisión de duración. Frente a los bonos amplios de EE.UU. (AGG, duración ~6), la renta fija larga de Nexum rindió casi lo mismo en 2013-2026 (1,4% vs 1,7%) con el doble de volatilidad, protegió más en la crisis de 2020 (2,3% vs 1,0%) y cayó más en el alza de tasas de 2022 (-25,3% vs -13,0%). La duración larga es una decisión estratégica coherente con metas a 14-50 años, y por eso el benchmark de la clase es el Bloomberg U.S. Long Government/Credit Index (duración ~14, igual a la nuestra) y no el Bloomberg U.S. Aggregate (AGG).</w:t>
      </w:r>
    </w:p>
    <w:p>
      <w:pPr>
        <w:pStyle w:val="Heading2"/>
      </w:pPr>
      <w:r>
        <w:t>3.6 Métricas de desempeño</w:t>
      </w:r>
    </w:p>
    <w:tbl>
      <w:tblPr>
        <w:tblStyle w:val="TableGrid"/>
        <w:tblW w:type="auto" w:w="0"/>
        <w:jc w:val="center"/>
        <w:tblLook w:firstColumn="1" w:firstRow="1" w:lastColumn="0" w:lastRow="0" w:noHBand="0" w:noVBand="1" w:val="04A0"/>
      </w:tblPr>
      <w:tblGrid>
        <w:gridCol w:w="3211"/>
        <w:gridCol w:w="3211"/>
        <w:gridCol w:w="3211"/>
      </w:tblGrid>
      <w:tr>
        <w:tc>
          <w:tcPr>
            <w:tcW w:type="dxa" w:w="2268"/>
            <w:shd w:val="clear" w:color="auto" w:fill="1F3A5F"/>
          </w:tcPr>
          <w:p>
            <w:r/>
            <w:r>
              <w:rPr>
                <w:b/>
                <w:color w:val="FFFFFF"/>
                <w:sz w:val="17"/>
              </w:rPr>
              <w:t>Métrica</w:t>
            </w:r>
          </w:p>
        </w:tc>
        <w:tc>
          <w:tcPr>
            <w:tcW w:type="dxa" w:w="3515"/>
            <w:shd w:val="clear" w:color="auto" w:fill="1F3A5F"/>
          </w:tcPr>
          <w:p>
            <w:r/>
            <w:r>
              <w:rPr>
                <w:b/>
                <w:color w:val="FFFFFF"/>
                <w:sz w:val="17"/>
              </w:rPr>
              <w:t>Para qué se usa</w:t>
            </w:r>
          </w:p>
        </w:tc>
        <w:tc>
          <w:tcPr>
            <w:tcW w:type="dxa" w:w="3288"/>
            <w:shd w:val="clear" w:color="auto" w:fill="1F3A5F"/>
          </w:tcPr>
          <w:p>
            <w:r/>
            <w:r>
              <w:rPr>
                <w:b/>
                <w:color w:val="FFFFFF"/>
                <w:sz w:val="17"/>
              </w:rPr>
              <w:t>Limitación</w:t>
            </w:r>
          </w:p>
        </w:tc>
      </w:tr>
      <w:tr>
        <w:tc>
          <w:tcPr>
            <w:tcW w:type="dxa" w:w="2268"/>
          </w:tcPr>
          <w:p>
            <w:r/>
            <w:r>
              <w:rPr>
                <w:sz w:val="17"/>
              </w:rPr>
              <w:t>Sharpe</w:t>
            </w:r>
          </w:p>
        </w:tc>
        <w:tc>
          <w:tcPr>
            <w:tcW w:type="dxa" w:w="3515"/>
          </w:tcPr>
          <w:p>
            <w:r/>
            <w:r>
              <w:rPr>
                <w:sz w:val="17"/>
              </w:rPr>
              <w:t>Retorno por unidad de riesgo total</w:t>
            </w:r>
          </w:p>
        </w:tc>
        <w:tc>
          <w:tcPr>
            <w:tcW w:type="dxa" w:w="3288"/>
          </w:tcPr>
          <w:p>
            <w:r/>
            <w:r>
              <w:rPr>
                <w:sz w:val="17"/>
              </w:rPr>
              <w:t>Supone normalidad; penaliza la volatilidad al alza</w:t>
            </w:r>
          </w:p>
        </w:tc>
      </w:tr>
      <w:tr>
        <w:tc>
          <w:tcPr>
            <w:tcW w:type="dxa" w:w="2268"/>
            <w:shd w:val="clear" w:color="auto" w:fill="F2F5F9"/>
          </w:tcPr>
          <w:p>
            <w:r/>
            <w:r>
              <w:rPr>
                <w:sz w:val="17"/>
              </w:rPr>
              <w:t>Sortino</w:t>
            </w:r>
          </w:p>
        </w:tc>
        <w:tc>
          <w:tcPr>
            <w:tcW w:type="dxa" w:w="3515"/>
            <w:shd w:val="clear" w:color="auto" w:fill="F2F5F9"/>
          </w:tcPr>
          <w:p>
            <w:r/>
            <w:r>
              <w:rPr>
                <w:sz w:val="17"/>
              </w:rPr>
              <w:t>Penaliza solo la volatilidad a la baja</w:t>
            </w:r>
          </w:p>
        </w:tc>
        <w:tc>
          <w:tcPr>
            <w:tcW w:type="dxa" w:w="3288"/>
            <w:shd w:val="clear" w:color="auto" w:fill="F2F5F9"/>
          </w:tcPr>
          <w:p>
            <w:r/>
            <w:r>
              <w:rPr>
                <w:sz w:val="17"/>
              </w:rPr>
              <w:t>Inestable con pocas observaciones</w:t>
            </w:r>
          </w:p>
        </w:tc>
      </w:tr>
      <w:tr>
        <w:tc>
          <w:tcPr>
            <w:tcW w:type="dxa" w:w="2268"/>
          </w:tcPr>
          <w:p>
            <w:r/>
            <w:r>
              <w:rPr>
                <w:sz w:val="17"/>
              </w:rPr>
              <w:t>Treynor y alfa de Jensen</w:t>
            </w:r>
          </w:p>
        </w:tc>
        <w:tc>
          <w:tcPr>
            <w:tcW w:type="dxa" w:w="3515"/>
          </w:tcPr>
          <w:p>
            <w:r/>
            <w:r>
              <w:rPr>
                <w:sz w:val="17"/>
              </w:rPr>
              <w:t>Retorno por unidad de riesgo sistemático y valor agregado ajustado por beta</w:t>
            </w:r>
          </w:p>
        </w:tc>
        <w:tc>
          <w:tcPr>
            <w:tcW w:type="dxa" w:w="3288"/>
          </w:tcPr>
          <w:p>
            <w:r/>
            <w:r>
              <w:rPr>
                <w:sz w:val="17"/>
              </w:rPr>
              <w:t>Dependen del modelo de mercado y del beta estimado</w:t>
            </w:r>
          </w:p>
        </w:tc>
      </w:tr>
      <w:tr>
        <w:tc>
          <w:tcPr>
            <w:tcW w:type="dxa" w:w="2268"/>
            <w:shd w:val="clear" w:color="auto" w:fill="F2F5F9"/>
          </w:tcPr>
          <w:p>
            <w:r/>
            <w:r>
              <w:rPr>
                <w:sz w:val="17"/>
              </w:rPr>
              <w:t>Tracking error e information ratio</w:t>
            </w:r>
          </w:p>
        </w:tc>
        <w:tc>
          <w:tcPr>
            <w:tcW w:type="dxa" w:w="3515"/>
            <w:shd w:val="clear" w:color="auto" w:fill="F2F5F9"/>
          </w:tcPr>
          <w:p>
            <w:r/>
            <w:r>
              <w:rPr>
                <w:sz w:val="17"/>
              </w:rPr>
              <w:t>Riesgo activo y su eficiencia frente al benchmark</w:t>
            </w:r>
          </w:p>
        </w:tc>
        <w:tc>
          <w:tcPr>
            <w:tcW w:type="dxa" w:w="3288"/>
            <w:shd w:val="clear" w:color="auto" w:fill="F2F5F9"/>
          </w:tcPr>
          <w:p>
            <w:r/>
            <w:r>
              <w:rPr>
                <w:sz w:val="17"/>
              </w:rPr>
              <w:t>Requieren un benchmark bien construido</w:t>
            </w:r>
          </w:p>
        </w:tc>
      </w:tr>
      <w:tr>
        <w:tc>
          <w:tcPr>
            <w:tcW w:type="dxa" w:w="2268"/>
          </w:tcPr>
          <w:p>
            <w:r/>
            <w:r>
              <w:rPr>
                <w:sz w:val="17"/>
              </w:rPr>
              <w:t>Máxima caída y Calmar</w:t>
            </w:r>
          </w:p>
        </w:tc>
        <w:tc>
          <w:tcPr>
            <w:tcW w:type="dxa" w:w="3515"/>
          </w:tcPr>
          <w:p>
            <w:r/>
            <w:r>
              <w:rPr>
                <w:sz w:val="17"/>
              </w:rPr>
              <w:t>Tolerancia conductual a pérdidas</w:t>
            </w:r>
          </w:p>
        </w:tc>
        <w:tc>
          <w:tcPr>
            <w:tcW w:type="dxa" w:w="3288"/>
          </w:tcPr>
          <w:p>
            <w:r/>
            <w:r>
              <w:rPr>
                <w:sz w:val="17"/>
              </w:rPr>
              <w:t>Dependen de la ventana</w:t>
            </w:r>
          </w:p>
        </w:tc>
      </w:tr>
      <w:tr>
        <w:tc>
          <w:tcPr>
            <w:tcW w:type="dxa" w:w="2268"/>
            <w:shd w:val="clear" w:color="auto" w:fill="F2F5F9"/>
          </w:tcPr>
          <w:p>
            <w:r/>
            <w:r>
              <w:rPr>
                <w:sz w:val="17"/>
              </w:rPr>
              <w:t>VaR y CVaR 95% mensual</w:t>
            </w:r>
          </w:p>
        </w:tc>
        <w:tc>
          <w:tcPr>
            <w:tcW w:type="dxa" w:w="3515"/>
            <w:shd w:val="clear" w:color="auto" w:fill="F2F5F9"/>
          </w:tcPr>
          <w:p>
            <w:r/>
            <w:r>
              <w:rPr>
                <w:sz w:val="17"/>
              </w:rPr>
              <w:t>Pérdida en un mes malo y en la cola</w:t>
            </w:r>
          </w:p>
        </w:tc>
        <w:tc>
          <w:tcPr>
            <w:tcW w:type="dxa" w:w="3288"/>
            <w:shd w:val="clear" w:color="auto" w:fill="F2F5F9"/>
          </w:tcPr>
          <w:p>
            <w:r/>
            <w:r>
              <w:rPr>
                <w:sz w:val="17"/>
              </w:rPr>
              <w:t>El VaR no informa el tamaño de la cola; por eso se agrega CVaR</w:t>
            </w:r>
          </w:p>
        </w:tc>
      </w:tr>
      <w:tr>
        <w:tc>
          <w:tcPr>
            <w:tcW w:type="dxa" w:w="2268"/>
          </w:tcPr>
          <w:p>
            <w:r/>
            <w:r>
              <w:rPr>
                <w:sz w:val="17"/>
              </w:rPr>
              <w:t>Probabilidad de éxito por objetivo</w:t>
            </w:r>
          </w:p>
        </w:tc>
        <w:tc>
          <w:tcPr>
            <w:tcW w:type="dxa" w:w="3515"/>
          </w:tcPr>
          <w:p>
            <w:r/>
            <w:r>
              <w:rPr>
                <w:sz w:val="17"/>
              </w:rPr>
              <w:t>Métrica central de un IPS por objetivos</w:t>
            </w:r>
          </w:p>
        </w:tc>
        <w:tc>
          <w:tcPr>
            <w:tcW w:type="dxa" w:w="3288"/>
          </w:tcPr>
          <w:p>
            <w:r/>
            <w:r>
              <w:rPr>
                <w:sz w:val="17"/>
              </w:rPr>
              <w:t>Depende de los supuestos del Montecarlo</w:t>
            </w:r>
          </w:p>
        </w:tc>
      </w:tr>
    </w:tbl>
    <w:p/>
    <w:p>
      <w:pPr>
        <w:pStyle w:val="Heading2"/>
      </w:pPr>
      <w:r>
        <w:t>3.7 Tracking error objetivo</w:t>
      </w:r>
    </w:p>
    <w:p>
      <w:r>
        <w:rPr>
          <w:i w:val="0"/>
        </w:rPr>
        <w:t>El límite se deriva del presupuesto de riesgo activo (Grinold y Kahn, 2000): con un alfa objetivo de 1,5% anual y un information ratio objetivo de 0,5, el TE objetivo es 1,5% / 0,5 = 3,0%; el máximo es 4% (alfa de 2% con el mismo IR). El TE ex-ante con los pesos aprobados es 2,1% (2016-2026) y 2,5% en los últimos 36 meses, dentro del objetivo; el information ratio realizado es 0,27.</w:t>
      </w:r>
    </w:p>
    <w:p>
      <w:r>
        <w:br w:type="page"/>
      </w:r>
    </w:p>
    <w:p>
      <w:pPr>
        <w:pStyle w:val="Heading1"/>
      </w:pPr>
      <w:r>
        <w:t>4. Backtesting y simulación de Montecarlo</w:t>
      </w:r>
    </w:p>
    <w:p>
      <w:pPr>
        <w:pStyle w:val="Heading2"/>
      </w:pPr>
      <w:r>
        <w:t>4.1 Datos, período y supuestos</w:t>
      </w:r>
    </w:p>
    <w:p>
      <w:pPr>
        <w:pStyle w:val="ListBullet"/>
      </w:pPr>
      <w:r>
        <w:t>Acciones del S&amp;P 500 con membresía histórica point-in-time (2009-2026): sin sesgo de supervivencia en los miembros del índice.</w:t>
      </w:r>
    </w:p>
    <w:p>
      <w:pPr>
        <w:pStyle w:val="ListBullet"/>
      </w:pPr>
      <w:r>
        <w:t>ETF del núcleo, de commodities y benchmarks: Yahoo Finance, precios ajustados por dividendos.</w:t>
      </w:r>
    </w:p>
    <w:p>
      <w:pPr>
        <w:pStyle w:val="ListBullet"/>
      </w:pPr>
      <w:r>
        <w:t>Ventana de evaluación: ene-2013 a ago-2026 (164 meses); métricas relativas, 2016-2026 (128 meses).</w:t>
      </w:r>
    </w:p>
    <w:p>
      <w:pPr>
        <w:pStyle w:val="ListBullet"/>
      </w:pPr>
      <w:r>
        <w:t>Señal con información disponible al cierre del mes t; retorno desde t+1 (sin anticipación). Costo de 0,1% sobre la rotación.</w:t>
      </w:r>
    </w:p>
    <w:p>
      <w:pPr>
        <w:pStyle w:val="ListBullet"/>
      </w:pPr>
      <w:r>
        <w:t>Montecarlo: 20.000 escenarios de 50 años por bootstrap mensual; inflación de EE.UU. de 2%; capital invertido de USD 144.000 (neto de la reserva de 4%).</w:t>
      </w:r>
    </w:p>
    <w:p>
      <w:pPr>
        <w:pStyle w:val="Heading2"/>
      </w:pPr>
      <w:r>
        <w:t>4.2 Montecarlo: probabilidad de cumplir los objetivos</w:t>
      </w:r>
    </w:p>
    <w:p>
      <w:pPr>
        <w:jc w:val="center"/>
      </w:pPr>
      <w:r>
        <w:drawing>
          <wp:inline xmlns:a="http://schemas.openxmlformats.org/drawingml/2006/main" xmlns:pic="http://schemas.openxmlformats.org/drawingml/2006/picture">
            <wp:extent cx="5760000" cy="2560000"/>
            <wp:docPr id="6" name="Picture 6"/>
            <wp:cNvGraphicFramePr>
              <a:graphicFrameLocks noChangeAspect="1"/>
            </wp:cNvGraphicFramePr>
            <a:graphic>
              <a:graphicData uri="http://schemas.openxmlformats.org/drawingml/2006/picture">
                <pic:pic>
                  <pic:nvPicPr>
                    <pic:cNvPr id="0" name="f4_montecarlo.png"/>
                    <pic:cNvPicPr/>
                  </pic:nvPicPr>
                  <pic:blipFill>
                    <a:blip r:embed="rId14"/>
                    <a:stretch>
                      <a:fillRect/>
                    </a:stretch>
                  </pic:blipFill>
                  <pic:spPr>
                    <a:xfrm>
                      <a:off x="0" y="0"/>
                      <a:ext cx="5760000" cy="2560000"/>
                    </a:xfrm>
                    <a:prstGeom prst="rect"/>
                  </pic:spPr>
                </pic:pic>
              </a:graphicData>
            </a:graphic>
          </wp:inline>
        </w:drawing>
      </w:r>
    </w:p>
    <w:p>
      <w:pPr>
        <w:jc w:val="center"/>
      </w:pPr>
      <w:r>
        <w:rPr>
          <w:i/>
          <w:sz w:val="16"/>
        </w:rPr>
        <w:t>Figura 6. Probabilidad de cumplir cada objetivo. Fuente: codigo/montecarlo.py; hoja 08_Montecarlo.</w:t>
      </w:r>
    </w:p>
    <w:tbl>
      <w:tblPr>
        <w:tblStyle w:val="TableGrid"/>
        <w:tblW w:type="auto" w:w="0"/>
        <w:jc w:val="center"/>
        <w:tblLook w:firstColumn="1" w:firstRow="1" w:lastColumn="0" w:lastRow="0" w:noHBand="0" w:noVBand="1" w:val="04A0"/>
      </w:tblPr>
      <w:tblGrid>
        <w:gridCol w:w="1204"/>
        <w:gridCol w:w="1204"/>
        <w:gridCol w:w="1204"/>
        <w:gridCol w:w="1204"/>
        <w:gridCol w:w="1204"/>
        <w:gridCol w:w="1204"/>
        <w:gridCol w:w="1204"/>
        <w:gridCol w:w="1204"/>
      </w:tblGrid>
      <w:tr>
        <w:tc>
          <w:tcPr>
            <w:tcW w:type="dxa" w:w="1134"/>
            <w:shd w:val="clear" w:color="auto" w:fill="1F3A5F"/>
          </w:tcPr>
          <w:p>
            <w:r/>
            <w:r>
              <w:rPr>
                <w:b/>
                <w:color w:val="FFFFFF"/>
                <w:sz w:val="16"/>
              </w:rPr>
              <w:t>Cartera</w:t>
            </w:r>
          </w:p>
        </w:tc>
        <w:tc>
          <w:tcPr>
            <w:tcW w:type="dxa" w:w="1814"/>
            <w:shd w:val="clear" w:color="auto" w:fill="1F3A5F"/>
          </w:tcPr>
          <w:p>
            <w:r/>
            <w:r>
              <w:rPr>
                <w:b/>
                <w:color w:val="FFFFFF"/>
                <w:sz w:val="16"/>
              </w:rPr>
              <w:t>Escenario</w:t>
            </w:r>
          </w:p>
        </w:tc>
        <w:tc>
          <w:tcPr>
            <w:tcW w:type="dxa" w:w="794"/>
            <w:shd w:val="clear" w:color="auto" w:fill="1F3A5F"/>
          </w:tcPr>
          <w:p>
            <w:r/>
            <w:r>
              <w:rPr>
                <w:b/>
                <w:color w:val="FFFFFF"/>
                <w:sz w:val="16"/>
              </w:rPr>
              <w:t>Moneda</w:t>
            </w:r>
          </w:p>
        </w:tc>
        <w:tc>
          <w:tcPr>
            <w:tcW w:type="dxa" w:w="964"/>
            <w:shd w:val="clear" w:color="auto" w:fill="1F3A5F"/>
          </w:tcPr>
          <w:p>
            <w:r/>
            <w:r>
              <w:rPr>
                <w:b/>
                <w:color w:val="FFFFFF"/>
                <w:sz w:val="16"/>
              </w:rPr>
              <w:t>Retorno real</w:t>
            </w:r>
          </w:p>
        </w:tc>
        <w:tc>
          <w:tcPr>
            <w:tcW w:type="dxa" w:w="1077"/>
            <w:shd w:val="clear" w:color="auto" w:fill="1F3A5F"/>
          </w:tcPr>
          <w:p>
            <w:r/>
            <w:r>
              <w:rPr>
                <w:b/>
                <w:color w:val="FFFFFF"/>
                <w:sz w:val="16"/>
              </w:rPr>
              <w:t>P(Educación)</w:t>
            </w:r>
          </w:p>
        </w:tc>
        <w:tc>
          <w:tcPr>
            <w:tcW w:type="dxa" w:w="1077"/>
            <w:shd w:val="clear" w:color="auto" w:fill="1F3A5F"/>
          </w:tcPr>
          <w:p>
            <w:r/>
            <w:r>
              <w:rPr>
                <w:b/>
                <w:color w:val="FFFFFF"/>
                <w:sz w:val="16"/>
              </w:rPr>
              <w:t>P(Villarrica)</w:t>
            </w:r>
          </w:p>
        </w:tc>
        <w:tc>
          <w:tcPr>
            <w:tcW w:type="dxa" w:w="1077"/>
            <w:shd w:val="clear" w:color="auto" w:fill="1F3A5F"/>
          </w:tcPr>
          <w:p>
            <w:r/>
            <w:r>
              <w:rPr>
                <w:b/>
                <w:color w:val="FFFFFF"/>
                <w:sz w:val="16"/>
              </w:rPr>
              <w:t>P(Herencia)</w:t>
            </w:r>
          </w:p>
        </w:tc>
        <w:tc>
          <w:tcPr>
            <w:tcW w:type="dxa" w:w="1134"/>
            <w:shd w:val="clear" w:color="auto" w:fill="1F3A5F"/>
          </w:tcPr>
          <w:p>
            <w:r/>
            <w:r>
              <w:rPr>
                <w:b/>
                <w:color w:val="FFFFFF"/>
                <w:sz w:val="16"/>
              </w:rPr>
              <w:t>P(3 objetivos)</w:t>
            </w:r>
          </w:p>
        </w:tc>
      </w:tr>
      <w:tr>
        <w:tc>
          <w:tcPr>
            <w:tcW w:type="dxa" w:w="1134"/>
          </w:tcPr>
          <w:p>
            <w:r/>
            <w:r>
              <w:rPr>
                <w:sz w:val="16"/>
              </w:rPr>
              <w:t>Nexum</w:t>
            </w:r>
          </w:p>
        </w:tc>
        <w:tc>
          <w:tcPr>
            <w:tcW w:type="dxa" w:w="1814"/>
          </w:tcPr>
          <w:p>
            <w:r/>
            <w:r>
              <w:rPr>
                <w:sz w:val="16"/>
              </w:rPr>
              <w:t>Histórico 2013-2026</w:t>
            </w:r>
          </w:p>
        </w:tc>
        <w:tc>
          <w:tcPr>
            <w:tcW w:type="dxa" w:w="794"/>
          </w:tcPr>
          <w:p>
            <w:r/>
            <w:r>
              <w:rPr>
                <w:sz w:val="16"/>
              </w:rPr>
              <w:t>USD</w:t>
            </w:r>
          </w:p>
        </w:tc>
        <w:tc>
          <w:tcPr>
            <w:tcW w:type="dxa" w:w="964"/>
          </w:tcPr>
          <w:p>
            <w:r/>
            <w:r>
              <w:rPr>
                <w:sz w:val="16"/>
              </w:rPr>
              <w:t>7,8%</w:t>
            </w:r>
          </w:p>
        </w:tc>
        <w:tc>
          <w:tcPr>
            <w:tcW w:type="dxa" w:w="1077"/>
          </w:tcPr>
          <w:p>
            <w:r/>
            <w:r>
              <w:rPr>
                <w:sz w:val="16"/>
              </w:rPr>
              <w:t>100,0%</w:t>
            </w:r>
          </w:p>
        </w:tc>
        <w:tc>
          <w:tcPr>
            <w:tcW w:type="dxa" w:w="1077"/>
          </w:tcPr>
          <w:p>
            <w:r/>
            <w:r>
              <w:rPr>
                <w:sz w:val="16"/>
              </w:rPr>
              <w:t>98,1%</w:t>
            </w:r>
          </w:p>
        </w:tc>
        <w:tc>
          <w:tcPr>
            <w:tcW w:type="dxa" w:w="1077"/>
          </w:tcPr>
          <w:p>
            <w:r/>
            <w:r>
              <w:rPr>
                <w:sz w:val="16"/>
              </w:rPr>
              <w:t>96,0%</w:t>
            </w:r>
          </w:p>
        </w:tc>
        <w:tc>
          <w:tcPr>
            <w:tcW w:type="dxa" w:w="1134"/>
          </w:tcPr>
          <w:p>
            <w:r/>
            <w:r>
              <w:rPr>
                <w:sz w:val="16"/>
              </w:rPr>
              <w:t>96,0%</w:t>
            </w:r>
          </w:p>
        </w:tc>
      </w:tr>
      <w:tr>
        <w:tc>
          <w:tcPr>
            <w:tcW w:type="dxa" w:w="1134"/>
            <w:shd w:val="clear" w:color="auto" w:fill="F2F5F9"/>
          </w:tcPr>
          <w:p>
            <w:r/>
            <w:r>
              <w:rPr>
                <w:sz w:val="16"/>
              </w:rPr>
              <w:t>Nexum</w:t>
            </w:r>
          </w:p>
        </w:tc>
        <w:tc>
          <w:tcPr>
            <w:tcW w:type="dxa" w:w="1814"/>
            <w:shd w:val="clear" w:color="auto" w:fill="F2F5F9"/>
          </w:tcPr>
          <w:p>
            <w:r/>
            <w:r>
              <w:rPr>
                <w:sz w:val="16"/>
              </w:rPr>
              <w:t>Histórico 2013-2026</w:t>
            </w:r>
          </w:p>
        </w:tc>
        <w:tc>
          <w:tcPr>
            <w:tcW w:type="dxa" w:w="794"/>
            <w:shd w:val="clear" w:color="auto" w:fill="F2F5F9"/>
          </w:tcPr>
          <w:p>
            <w:r/>
            <w:r>
              <w:rPr>
                <w:sz w:val="16"/>
              </w:rPr>
              <w:t>UF</w:t>
            </w:r>
          </w:p>
        </w:tc>
        <w:tc>
          <w:tcPr>
            <w:tcW w:type="dxa" w:w="964"/>
            <w:shd w:val="clear" w:color="auto" w:fill="F2F5F9"/>
          </w:tcPr>
          <w:p>
            <w:r/>
            <w:r>
              <w:rPr>
                <w:sz w:val="16"/>
              </w:rPr>
              <w:t>7,8%</w:t>
            </w:r>
          </w:p>
        </w:tc>
        <w:tc>
          <w:tcPr>
            <w:tcW w:type="dxa" w:w="1077"/>
            <w:shd w:val="clear" w:color="auto" w:fill="F2F5F9"/>
          </w:tcPr>
          <w:p>
            <w:r/>
            <w:r>
              <w:rPr>
                <w:sz w:val="16"/>
              </w:rPr>
              <w:t>100,0%</w:t>
            </w:r>
          </w:p>
        </w:tc>
        <w:tc>
          <w:tcPr>
            <w:tcW w:type="dxa" w:w="1077"/>
            <w:shd w:val="clear" w:color="auto" w:fill="F2F5F9"/>
          </w:tcPr>
          <w:p>
            <w:r/>
            <w:r>
              <w:rPr>
                <w:sz w:val="16"/>
              </w:rPr>
              <w:t>92,0%</w:t>
            </w:r>
          </w:p>
        </w:tc>
        <w:tc>
          <w:tcPr>
            <w:tcW w:type="dxa" w:w="1077"/>
            <w:shd w:val="clear" w:color="auto" w:fill="F2F5F9"/>
          </w:tcPr>
          <w:p>
            <w:r/>
            <w:r>
              <w:rPr>
                <w:sz w:val="16"/>
              </w:rPr>
              <w:t>89,6%</w:t>
            </w:r>
          </w:p>
        </w:tc>
        <w:tc>
          <w:tcPr>
            <w:tcW w:type="dxa" w:w="1134"/>
            <w:shd w:val="clear" w:color="auto" w:fill="F2F5F9"/>
          </w:tcPr>
          <w:p>
            <w:r/>
            <w:r>
              <w:rPr>
                <w:sz w:val="16"/>
              </w:rPr>
              <w:t>89,6%</w:t>
            </w:r>
          </w:p>
        </w:tc>
      </w:tr>
      <w:tr>
        <w:tc>
          <w:tcPr>
            <w:tcW w:type="dxa" w:w="1134"/>
          </w:tcPr>
          <w:p>
            <w:r/>
            <w:r>
              <w:rPr>
                <w:sz w:val="16"/>
              </w:rPr>
              <w:t>Nexum</w:t>
            </w:r>
          </w:p>
        </w:tc>
        <w:tc>
          <w:tcPr>
            <w:tcW w:type="dxa" w:w="1814"/>
          </w:tcPr>
          <w:p>
            <w:r/>
            <w:r>
              <w:rPr>
                <w:sz w:val="16"/>
              </w:rPr>
              <w:t>Prospectivo</w:t>
            </w:r>
          </w:p>
        </w:tc>
        <w:tc>
          <w:tcPr>
            <w:tcW w:type="dxa" w:w="794"/>
          </w:tcPr>
          <w:p>
            <w:r/>
            <w:r>
              <w:rPr>
                <w:sz w:val="16"/>
              </w:rPr>
              <w:t>USD</w:t>
            </w:r>
          </w:p>
        </w:tc>
        <w:tc>
          <w:tcPr>
            <w:tcW w:type="dxa" w:w="964"/>
          </w:tcPr>
          <w:p>
            <w:r/>
            <w:r>
              <w:rPr>
                <w:sz w:val="16"/>
              </w:rPr>
              <w:t>4,6%</w:t>
            </w:r>
          </w:p>
        </w:tc>
        <w:tc>
          <w:tcPr>
            <w:tcW w:type="dxa" w:w="1077"/>
          </w:tcPr>
          <w:p>
            <w:r/>
            <w:r>
              <w:rPr>
                <w:sz w:val="16"/>
              </w:rPr>
              <w:t>100,0%</w:t>
            </w:r>
          </w:p>
        </w:tc>
        <w:tc>
          <w:tcPr>
            <w:tcW w:type="dxa" w:w="1077"/>
          </w:tcPr>
          <w:p>
            <w:r/>
            <w:r>
              <w:rPr>
                <w:sz w:val="16"/>
              </w:rPr>
              <w:t>71,3%</w:t>
            </w:r>
          </w:p>
        </w:tc>
        <w:tc>
          <w:tcPr>
            <w:tcW w:type="dxa" w:w="1077"/>
          </w:tcPr>
          <w:p>
            <w:r/>
            <w:r>
              <w:rPr>
                <w:sz w:val="16"/>
              </w:rPr>
              <w:t>46,5%</w:t>
            </w:r>
          </w:p>
        </w:tc>
        <w:tc>
          <w:tcPr>
            <w:tcW w:type="dxa" w:w="1134"/>
          </w:tcPr>
          <w:p>
            <w:r/>
            <w:r>
              <w:rPr>
                <w:sz w:val="16"/>
              </w:rPr>
              <w:t>46,5%</w:t>
            </w:r>
          </w:p>
        </w:tc>
      </w:tr>
      <w:tr>
        <w:tc>
          <w:tcPr>
            <w:tcW w:type="dxa" w:w="1134"/>
            <w:shd w:val="clear" w:color="auto" w:fill="F2F5F9"/>
          </w:tcPr>
          <w:p>
            <w:r/>
            <w:r>
              <w:rPr>
                <w:sz w:val="16"/>
              </w:rPr>
              <w:t>Nexum</w:t>
            </w:r>
          </w:p>
        </w:tc>
        <w:tc>
          <w:tcPr>
            <w:tcW w:type="dxa" w:w="1814"/>
            <w:shd w:val="clear" w:color="auto" w:fill="F2F5F9"/>
          </w:tcPr>
          <w:p>
            <w:r/>
            <w:r>
              <w:rPr>
                <w:sz w:val="16"/>
              </w:rPr>
              <w:t>Prospectivo</w:t>
            </w:r>
          </w:p>
        </w:tc>
        <w:tc>
          <w:tcPr>
            <w:tcW w:type="dxa" w:w="794"/>
            <w:shd w:val="clear" w:color="auto" w:fill="F2F5F9"/>
          </w:tcPr>
          <w:p>
            <w:r/>
            <w:r>
              <w:rPr>
                <w:sz w:val="16"/>
              </w:rPr>
              <w:t>UF</w:t>
            </w:r>
          </w:p>
        </w:tc>
        <w:tc>
          <w:tcPr>
            <w:tcW w:type="dxa" w:w="964"/>
            <w:shd w:val="clear" w:color="auto" w:fill="F2F5F9"/>
          </w:tcPr>
          <w:p>
            <w:r/>
            <w:r>
              <w:rPr>
                <w:sz w:val="16"/>
              </w:rPr>
              <w:t>4,6%</w:t>
            </w:r>
          </w:p>
        </w:tc>
        <w:tc>
          <w:tcPr>
            <w:tcW w:type="dxa" w:w="1077"/>
            <w:shd w:val="clear" w:color="auto" w:fill="F2F5F9"/>
          </w:tcPr>
          <w:p>
            <w:r/>
            <w:r>
              <w:rPr>
                <w:sz w:val="16"/>
              </w:rPr>
              <w:t>99,9%</w:t>
            </w:r>
          </w:p>
        </w:tc>
        <w:tc>
          <w:tcPr>
            <w:tcW w:type="dxa" w:w="1077"/>
            <w:shd w:val="clear" w:color="auto" w:fill="F2F5F9"/>
          </w:tcPr>
          <w:p>
            <w:r/>
            <w:r>
              <w:rPr>
                <w:sz w:val="16"/>
              </w:rPr>
              <w:t>64,5%</w:t>
            </w:r>
          </w:p>
        </w:tc>
        <w:tc>
          <w:tcPr>
            <w:tcW w:type="dxa" w:w="1077"/>
            <w:shd w:val="clear" w:color="auto" w:fill="F2F5F9"/>
          </w:tcPr>
          <w:p>
            <w:r/>
            <w:r>
              <w:rPr>
                <w:sz w:val="16"/>
              </w:rPr>
              <w:t>45,3%</w:t>
            </w:r>
          </w:p>
        </w:tc>
        <w:tc>
          <w:tcPr>
            <w:tcW w:type="dxa" w:w="1134"/>
            <w:shd w:val="clear" w:color="auto" w:fill="F2F5F9"/>
          </w:tcPr>
          <w:p>
            <w:r/>
            <w:r>
              <w:rPr>
                <w:sz w:val="16"/>
              </w:rPr>
              <w:t>45,3%</w:t>
            </w:r>
          </w:p>
        </w:tc>
      </w:tr>
      <w:tr>
        <w:tc>
          <w:tcPr>
            <w:tcW w:type="dxa" w:w="1134"/>
          </w:tcPr>
          <w:p>
            <w:r/>
            <w:r>
              <w:rPr>
                <w:sz w:val="16"/>
              </w:rPr>
              <w:t>AGF 85/15</w:t>
            </w:r>
          </w:p>
        </w:tc>
        <w:tc>
          <w:tcPr>
            <w:tcW w:type="dxa" w:w="1814"/>
          </w:tcPr>
          <w:p>
            <w:r/>
            <w:r>
              <w:rPr>
                <w:sz w:val="16"/>
              </w:rPr>
              <w:t>Histórico 2013-2026</w:t>
            </w:r>
          </w:p>
        </w:tc>
        <w:tc>
          <w:tcPr>
            <w:tcW w:type="dxa" w:w="794"/>
          </w:tcPr>
          <w:p>
            <w:r/>
            <w:r>
              <w:rPr>
                <w:sz w:val="16"/>
              </w:rPr>
              <w:t>USD</w:t>
            </w:r>
          </w:p>
        </w:tc>
        <w:tc>
          <w:tcPr>
            <w:tcW w:type="dxa" w:w="964"/>
          </w:tcPr>
          <w:p>
            <w:r/>
            <w:r>
              <w:rPr>
                <w:sz w:val="16"/>
              </w:rPr>
              <w:t>10,0%</w:t>
            </w:r>
          </w:p>
        </w:tc>
        <w:tc>
          <w:tcPr>
            <w:tcW w:type="dxa" w:w="1077"/>
          </w:tcPr>
          <w:p>
            <w:r/>
            <w:r>
              <w:rPr>
                <w:sz w:val="16"/>
              </w:rPr>
              <w:t>100,0%</w:t>
            </w:r>
          </w:p>
        </w:tc>
        <w:tc>
          <w:tcPr>
            <w:tcW w:type="dxa" w:w="1077"/>
          </w:tcPr>
          <w:p>
            <w:r/>
            <w:r>
              <w:rPr>
                <w:sz w:val="16"/>
              </w:rPr>
              <w:t>99,3%</w:t>
            </w:r>
          </w:p>
        </w:tc>
        <w:tc>
          <w:tcPr>
            <w:tcW w:type="dxa" w:w="1077"/>
          </w:tcPr>
          <w:p>
            <w:r/>
            <w:r>
              <w:rPr>
                <w:sz w:val="16"/>
              </w:rPr>
              <w:t>98,8%</w:t>
            </w:r>
          </w:p>
        </w:tc>
        <w:tc>
          <w:tcPr>
            <w:tcW w:type="dxa" w:w="1134"/>
          </w:tcPr>
          <w:p>
            <w:r/>
            <w:r>
              <w:rPr>
                <w:sz w:val="16"/>
              </w:rPr>
              <w:t>98,8%</w:t>
            </w:r>
          </w:p>
        </w:tc>
      </w:tr>
      <w:tr>
        <w:tc>
          <w:tcPr>
            <w:tcW w:type="dxa" w:w="1134"/>
            <w:shd w:val="clear" w:color="auto" w:fill="F2F5F9"/>
          </w:tcPr>
          <w:p>
            <w:r/>
            <w:r>
              <w:rPr>
                <w:sz w:val="16"/>
              </w:rPr>
              <w:t>AGF 85/15</w:t>
            </w:r>
          </w:p>
        </w:tc>
        <w:tc>
          <w:tcPr>
            <w:tcW w:type="dxa" w:w="1814"/>
            <w:shd w:val="clear" w:color="auto" w:fill="F2F5F9"/>
          </w:tcPr>
          <w:p>
            <w:r/>
            <w:r>
              <w:rPr>
                <w:sz w:val="16"/>
              </w:rPr>
              <w:t>Histórico 2013-2026</w:t>
            </w:r>
          </w:p>
        </w:tc>
        <w:tc>
          <w:tcPr>
            <w:tcW w:type="dxa" w:w="794"/>
            <w:shd w:val="clear" w:color="auto" w:fill="F2F5F9"/>
          </w:tcPr>
          <w:p>
            <w:r/>
            <w:r>
              <w:rPr>
                <w:sz w:val="16"/>
              </w:rPr>
              <w:t>UF</w:t>
            </w:r>
          </w:p>
        </w:tc>
        <w:tc>
          <w:tcPr>
            <w:tcW w:type="dxa" w:w="964"/>
            <w:shd w:val="clear" w:color="auto" w:fill="F2F5F9"/>
          </w:tcPr>
          <w:p>
            <w:r/>
            <w:r>
              <w:rPr>
                <w:sz w:val="16"/>
              </w:rPr>
              <w:t>10,0%</w:t>
            </w:r>
          </w:p>
        </w:tc>
        <w:tc>
          <w:tcPr>
            <w:tcW w:type="dxa" w:w="1077"/>
            <w:shd w:val="clear" w:color="auto" w:fill="F2F5F9"/>
          </w:tcPr>
          <w:p>
            <w:r/>
            <w:r>
              <w:rPr>
                <w:sz w:val="16"/>
              </w:rPr>
              <w:t>100,0%</w:t>
            </w:r>
          </w:p>
        </w:tc>
        <w:tc>
          <w:tcPr>
            <w:tcW w:type="dxa" w:w="1077"/>
            <w:shd w:val="clear" w:color="auto" w:fill="F2F5F9"/>
          </w:tcPr>
          <w:p>
            <w:r/>
            <w:r>
              <w:rPr>
                <w:sz w:val="16"/>
              </w:rPr>
              <w:t>97,0%</w:t>
            </w:r>
          </w:p>
        </w:tc>
        <w:tc>
          <w:tcPr>
            <w:tcW w:type="dxa" w:w="1077"/>
            <w:shd w:val="clear" w:color="auto" w:fill="F2F5F9"/>
          </w:tcPr>
          <w:p>
            <w:r/>
            <w:r>
              <w:rPr>
                <w:sz w:val="16"/>
              </w:rPr>
              <w:t>96,4%</w:t>
            </w:r>
          </w:p>
        </w:tc>
        <w:tc>
          <w:tcPr>
            <w:tcW w:type="dxa" w:w="1134"/>
            <w:shd w:val="clear" w:color="auto" w:fill="F2F5F9"/>
          </w:tcPr>
          <w:p>
            <w:r/>
            <w:r>
              <w:rPr>
                <w:sz w:val="16"/>
              </w:rPr>
              <w:t>96,4%</w:t>
            </w:r>
          </w:p>
        </w:tc>
      </w:tr>
      <w:tr>
        <w:tc>
          <w:tcPr>
            <w:tcW w:type="dxa" w:w="1134"/>
          </w:tcPr>
          <w:p>
            <w:r/>
            <w:r>
              <w:rPr>
                <w:sz w:val="16"/>
              </w:rPr>
              <w:t>AGF 85/15</w:t>
            </w:r>
          </w:p>
        </w:tc>
        <w:tc>
          <w:tcPr>
            <w:tcW w:type="dxa" w:w="1814"/>
          </w:tcPr>
          <w:p>
            <w:r/>
            <w:r>
              <w:rPr>
                <w:sz w:val="16"/>
              </w:rPr>
              <w:t>Prospectivo</w:t>
            </w:r>
          </w:p>
        </w:tc>
        <w:tc>
          <w:tcPr>
            <w:tcW w:type="dxa" w:w="794"/>
          </w:tcPr>
          <w:p>
            <w:r/>
            <w:r>
              <w:rPr>
                <w:sz w:val="16"/>
              </w:rPr>
              <w:t>USD</w:t>
            </w:r>
          </w:p>
        </w:tc>
        <w:tc>
          <w:tcPr>
            <w:tcW w:type="dxa" w:w="964"/>
          </w:tcPr>
          <w:p>
            <w:r/>
            <w:r>
              <w:rPr>
                <w:sz w:val="16"/>
              </w:rPr>
              <w:t>4,4%</w:t>
            </w:r>
          </w:p>
        </w:tc>
        <w:tc>
          <w:tcPr>
            <w:tcW w:type="dxa" w:w="1077"/>
          </w:tcPr>
          <w:p>
            <w:r/>
            <w:r>
              <w:rPr>
                <w:sz w:val="16"/>
              </w:rPr>
              <w:t>100,0%</w:t>
            </w:r>
          </w:p>
        </w:tc>
        <w:tc>
          <w:tcPr>
            <w:tcW w:type="dxa" w:w="1077"/>
          </w:tcPr>
          <w:p>
            <w:r/>
            <w:r>
              <w:rPr>
                <w:sz w:val="16"/>
              </w:rPr>
              <w:t>63,6%</w:t>
            </w:r>
          </w:p>
        </w:tc>
        <w:tc>
          <w:tcPr>
            <w:tcW w:type="dxa" w:w="1077"/>
          </w:tcPr>
          <w:p>
            <w:r/>
            <w:r>
              <w:rPr>
                <w:sz w:val="16"/>
              </w:rPr>
              <w:t>42,4%</w:t>
            </w:r>
          </w:p>
        </w:tc>
        <w:tc>
          <w:tcPr>
            <w:tcW w:type="dxa" w:w="1134"/>
          </w:tcPr>
          <w:p>
            <w:r/>
            <w:r>
              <w:rPr>
                <w:sz w:val="16"/>
              </w:rPr>
              <w:t>42,4%</w:t>
            </w:r>
          </w:p>
        </w:tc>
      </w:tr>
      <w:tr>
        <w:tc>
          <w:tcPr>
            <w:tcW w:type="dxa" w:w="1134"/>
            <w:shd w:val="clear" w:color="auto" w:fill="F2F5F9"/>
          </w:tcPr>
          <w:p>
            <w:r/>
            <w:r>
              <w:rPr>
                <w:sz w:val="16"/>
              </w:rPr>
              <w:t>AGF 85/15</w:t>
            </w:r>
          </w:p>
        </w:tc>
        <w:tc>
          <w:tcPr>
            <w:tcW w:type="dxa" w:w="1814"/>
            <w:shd w:val="clear" w:color="auto" w:fill="F2F5F9"/>
          </w:tcPr>
          <w:p>
            <w:r/>
            <w:r>
              <w:rPr>
                <w:sz w:val="16"/>
              </w:rPr>
              <w:t>Prospectivo</w:t>
            </w:r>
          </w:p>
        </w:tc>
        <w:tc>
          <w:tcPr>
            <w:tcW w:type="dxa" w:w="794"/>
            <w:shd w:val="clear" w:color="auto" w:fill="F2F5F9"/>
          </w:tcPr>
          <w:p>
            <w:r/>
            <w:r>
              <w:rPr>
                <w:sz w:val="16"/>
              </w:rPr>
              <w:t>UF</w:t>
            </w:r>
          </w:p>
        </w:tc>
        <w:tc>
          <w:tcPr>
            <w:tcW w:type="dxa" w:w="964"/>
            <w:shd w:val="clear" w:color="auto" w:fill="F2F5F9"/>
          </w:tcPr>
          <w:p>
            <w:r/>
            <w:r>
              <w:rPr>
                <w:sz w:val="16"/>
              </w:rPr>
              <w:t>4,4%</w:t>
            </w:r>
          </w:p>
        </w:tc>
        <w:tc>
          <w:tcPr>
            <w:tcW w:type="dxa" w:w="1077"/>
            <w:shd w:val="clear" w:color="auto" w:fill="F2F5F9"/>
          </w:tcPr>
          <w:p>
            <w:r/>
            <w:r>
              <w:rPr>
                <w:sz w:val="16"/>
              </w:rPr>
              <w:t>99,6%</w:t>
            </w:r>
          </w:p>
        </w:tc>
        <w:tc>
          <w:tcPr>
            <w:tcW w:type="dxa" w:w="1077"/>
            <w:shd w:val="clear" w:color="auto" w:fill="F2F5F9"/>
          </w:tcPr>
          <w:p>
            <w:r/>
            <w:r>
              <w:rPr>
                <w:sz w:val="16"/>
              </w:rPr>
              <w:t>57,2%</w:t>
            </w:r>
          </w:p>
        </w:tc>
        <w:tc>
          <w:tcPr>
            <w:tcW w:type="dxa" w:w="1077"/>
            <w:shd w:val="clear" w:color="auto" w:fill="F2F5F9"/>
          </w:tcPr>
          <w:p>
            <w:r/>
            <w:r>
              <w:rPr>
                <w:sz w:val="16"/>
              </w:rPr>
              <w:t>38,4%</w:t>
            </w:r>
          </w:p>
        </w:tc>
        <w:tc>
          <w:tcPr>
            <w:tcW w:type="dxa" w:w="1134"/>
            <w:shd w:val="clear" w:color="auto" w:fill="F2F5F9"/>
          </w:tcPr>
          <w:p>
            <w:r/>
            <w:r>
              <w:rPr>
                <w:sz w:val="16"/>
              </w:rPr>
              <w:t>38,4%</w:t>
            </w:r>
          </w:p>
        </w:tc>
      </w:tr>
    </w:tbl>
    <w:p>
      <w:r>
        <w:rPr>
          <w:i/>
          <w:sz w:val="16"/>
        </w:rPr>
        <w:t>Escenario prospectivo: misma volatilidad y correlaciones históricas, con medias ajustadas a supuestos de mercado (retornos reales: S&amp;P 500 5,0%, Low-Vol 4,5%, Momentum 5,5%, TLH 2,6%, VCLT 3,2%, commodities 2,0%). UF: tipo de cambio real sin tendencia, con la volatilidad y la correlación observadas.</w:t>
      </w:r>
    </w:p>
    <w:p>
      <w:r>
        <w:rPr>
          <w:i w:val="0"/>
        </w:rPr>
        <w:t>Interpretación: Educación se cumple en prácticamente todos los escenarios, por lo que el piso de diseño (90-95%) se satisface con holgura. La incertidumbre se concentra en Villarrica y la herencia, que el IPS define como flexibles. Con retornos históricos el plan es holgado; con supuestos prudentes la probabilidad conjunta es menor a 50%, coherente con un retorno esperado levemente bajo el requerido. Esta es la conclusión que se presenta a los clientes, junto con las palancas de ajuste:</w:t>
      </w: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3628"/>
            <w:shd w:val="clear" w:color="auto" w:fill="1F3A5F"/>
          </w:tcPr>
          <w:p>
            <w:r/>
            <w:r>
              <w:rPr>
                <w:b/>
                <w:color w:val="FFFFFF"/>
                <w:sz w:val="17"/>
              </w:rPr>
              <w:t>Palanca (escenario prospectivo, USD)</w:t>
            </w:r>
          </w:p>
        </w:tc>
        <w:tc>
          <w:tcPr>
            <w:tcW w:type="dxa" w:w="1361"/>
            <w:shd w:val="clear" w:color="auto" w:fill="1F3A5F"/>
          </w:tcPr>
          <w:p>
            <w:r/>
            <w:r>
              <w:rPr>
                <w:b/>
                <w:color w:val="FFFFFF"/>
                <w:sz w:val="17"/>
              </w:rPr>
              <w:t>P(Educación)</w:t>
            </w:r>
          </w:p>
        </w:tc>
        <w:tc>
          <w:tcPr>
            <w:tcW w:type="dxa" w:w="1361"/>
            <w:shd w:val="clear" w:color="auto" w:fill="1F3A5F"/>
          </w:tcPr>
          <w:p>
            <w:r/>
            <w:r>
              <w:rPr>
                <w:b/>
                <w:color w:val="FFFFFF"/>
                <w:sz w:val="17"/>
              </w:rPr>
              <w:t>P(Villarrica)</w:t>
            </w:r>
          </w:p>
        </w:tc>
        <w:tc>
          <w:tcPr>
            <w:tcW w:type="dxa" w:w="1361"/>
            <w:shd w:val="clear" w:color="auto" w:fill="1F3A5F"/>
          </w:tcPr>
          <w:p>
            <w:r/>
            <w:r>
              <w:rPr>
                <w:b/>
                <w:color w:val="FFFFFF"/>
                <w:sz w:val="17"/>
              </w:rPr>
              <w:t>P(Herencia)</w:t>
            </w:r>
          </w:p>
        </w:tc>
        <w:tc>
          <w:tcPr>
            <w:tcW w:type="dxa" w:w="1361"/>
            <w:shd w:val="clear" w:color="auto" w:fill="1F3A5F"/>
          </w:tcPr>
          <w:p>
            <w:r/>
            <w:r>
              <w:rPr>
                <w:b/>
                <w:color w:val="FFFFFF"/>
                <w:sz w:val="17"/>
              </w:rPr>
              <w:t>P(3 objetivos)</w:t>
            </w:r>
          </w:p>
        </w:tc>
      </w:tr>
      <w:tr>
        <w:tc>
          <w:tcPr>
            <w:tcW w:type="dxa" w:w="3628"/>
          </w:tcPr>
          <w:p>
            <w:r/>
            <w:r>
              <w:rPr>
                <w:sz w:val="17"/>
              </w:rPr>
              <w:t>Base</w:t>
            </w:r>
          </w:p>
        </w:tc>
        <w:tc>
          <w:tcPr>
            <w:tcW w:type="dxa" w:w="1361"/>
          </w:tcPr>
          <w:p>
            <w:r/>
            <w:r>
              <w:rPr>
                <w:sz w:val="17"/>
              </w:rPr>
              <w:t>100,0%</w:t>
            </w:r>
          </w:p>
        </w:tc>
        <w:tc>
          <w:tcPr>
            <w:tcW w:type="dxa" w:w="1361"/>
          </w:tcPr>
          <w:p>
            <w:r/>
            <w:r>
              <w:rPr>
                <w:sz w:val="17"/>
              </w:rPr>
              <w:t>71,3%</w:t>
            </w:r>
          </w:p>
        </w:tc>
        <w:tc>
          <w:tcPr>
            <w:tcW w:type="dxa" w:w="1361"/>
          </w:tcPr>
          <w:p>
            <w:r/>
            <w:r>
              <w:rPr>
                <w:sz w:val="17"/>
              </w:rPr>
              <w:t>46,5%</w:t>
            </w:r>
          </w:p>
        </w:tc>
        <w:tc>
          <w:tcPr>
            <w:tcW w:type="dxa" w:w="1361"/>
          </w:tcPr>
          <w:p>
            <w:r/>
            <w:r>
              <w:rPr>
                <w:sz w:val="17"/>
              </w:rPr>
              <w:t>46,5%</w:t>
            </w:r>
          </w:p>
        </w:tc>
      </w:tr>
      <w:tr>
        <w:tc>
          <w:tcPr>
            <w:tcW w:type="dxa" w:w="3628"/>
            <w:shd w:val="clear" w:color="auto" w:fill="F2F5F9"/>
          </w:tcPr>
          <w:p>
            <w:r/>
            <w:r>
              <w:rPr>
                <w:sz w:val="17"/>
              </w:rPr>
              <w:t>Herencia USD 250 mil</w:t>
            </w:r>
          </w:p>
        </w:tc>
        <w:tc>
          <w:tcPr>
            <w:tcW w:type="dxa" w:w="1361"/>
            <w:shd w:val="clear" w:color="auto" w:fill="F2F5F9"/>
          </w:tcPr>
          <w:p>
            <w:r/>
            <w:r>
              <w:rPr>
                <w:sz w:val="17"/>
              </w:rPr>
              <w:t>100,0%</w:t>
            </w:r>
          </w:p>
        </w:tc>
        <w:tc>
          <w:tcPr>
            <w:tcW w:type="dxa" w:w="1361"/>
            <w:shd w:val="clear" w:color="auto" w:fill="F2F5F9"/>
          </w:tcPr>
          <w:p>
            <w:r/>
            <w:r>
              <w:rPr>
                <w:sz w:val="17"/>
              </w:rPr>
              <w:t>71,3%</w:t>
            </w:r>
          </w:p>
        </w:tc>
        <w:tc>
          <w:tcPr>
            <w:tcW w:type="dxa" w:w="1361"/>
            <w:shd w:val="clear" w:color="auto" w:fill="F2F5F9"/>
          </w:tcPr>
          <w:p>
            <w:r/>
            <w:r>
              <w:rPr>
                <w:sz w:val="17"/>
              </w:rPr>
              <w:t>57,6%</w:t>
            </w:r>
          </w:p>
        </w:tc>
        <w:tc>
          <w:tcPr>
            <w:tcW w:type="dxa" w:w="1361"/>
            <w:shd w:val="clear" w:color="auto" w:fill="F2F5F9"/>
          </w:tcPr>
          <w:p>
            <w:r/>
            <w:r>
              <w:rPr>
                <w:sz w:val="17"/>
              </w:rPr>
              <w:t>57,6%</w:t>
            </w:r>
          </w:p>
        </w:tc>
      </w:tr>
      <w:tr>
        <w:tc>
          <w:tcPr>
            <w:tcW w:type="dxa" w:w="3628"/>
          </w:tcPr>
          <w:p>
            <w:r/>
            <w:r>
              <w:rPr>
                <w:sz w:val="17"/>
              </w:rPr>
              <w:t>Villarrica -25%</w:t>
            </w:r>
          </w:p>
        </w:tc>
        <w:tc>
          <w:tcPr>
            <w:tcW w:type="dxa" w:w="1361"/>
          </w:tcPr>
          <w:p>
            <w:r/>
            <w:r>
              <w:rPr>
                <w:sz w:val="17"/>
              </w:rPr>
              <w:t>100,0%</w:t>
            </w:r>
          </w:p>
        </w:tc>
        <w:tc>
          <w:tcPr>
            <w:tcW w:type="dxa" w:w="1361"/>
          </w:tcPr>
          <w:p>
            <w:r/>
            <w:r>
              <w:rPr>
                <w:sz w:val="17"/>
              </w:rPr>
              <w:t>87,0%</w:t>
            </w:r>
          </w:p>
        </w:tc>
        <w:tc>
          <w:tcPr>
            <w:tcW w:type="dxa" w:w="1361"/>
          </w:tcPr>
          <w:p>
            <w:r/>
            <w:r>
              <w:rPr>
                <w:sz w:val="17"/>
              </w:rPr>
              <w:t>62,1%</w:t>
            </w:r>
          </w:p>
        </w:tc>
        <w:tc>
          <w:tcPr>
            <w:tcW w:type="dxa" w:w="1361"/>
          </w:tcPr>
          <w:p>
            <w:r/>
            <w:r>
              <w:rPr>
                <w:sz w:val="17"/>
              </w:rPr>
              <w:t>62,1%</w:t>
            </w:r>
          </w:p>
        </w:tc>
      </w:tr>
      <w:tr>
        <w:tc>
          <w:tcPr>
            <w:tcW w:type="dxa" w:w="3628"/>
            <w:shd w:val="clear" w:color="auto" w:fill="F2F5F9"/>
          </w:tcPr>
          <w:p>
            <w:r/>
            <w:r>
              <w:rPr>
                <w:sz w:val="17"/>
              </w:rPr>
              <w:t>Ambas</w:t>
            </w:r>
          </w:p>
        </w:tc>
        <w:tc>
          <w:tcPr>
            <w:tcW w:type="dxa" w:w="1361"/>
            <w:shd w:val="clear" w:color="auto" w:fill="F2F5F9"/>
          </w:tcPr>
          <w:p>
            <w:r/>
            <w:r>
              <w:rPr>
                <w:sz w:val="17"/>
              </w:rPr>
              <w:t>100,0%</w:t>
            </w:r>
          </w:p>
        </w:tc>
        <w:tc>
          <w:tcPr>
            <w:tcW w:type="dxa" w:w="1361"/>
            <w:shd w:val="clear" w:color="auto" w:fill="F2F5F9"/>
          </w:tcPr>
          <w:p>
            <w:r/>
            <w:r>
              <w:rPr>
                <w:sz w:val="17"/>
              </w:rPr>
              <w:t>87,0%</w:t>
            </w:r>
          </w:p>
        </w:tc>
        <w:tc>
          <w:tcPr>
            <w:tcW w:type="dxa" w:w="1361"/>
            <w:shd w:val="clear" w:color="auto" w:fill="F2F5F9"/>
          </w:tcPr>
          <w:p>
            <w:r/>
            <w:r>
              <w:rPr>
                <w:sz w:val="17"/>
              </w:rPr>
              <w:t>74,8%</w:t>
            </w:r>
          </w:p>
        </w:tc>
        <w:tc>
          <w:tcPr>
            <w:tcW w:type="dxa" w:w="1361"/>
            <w:shd w:val="clear" w:color="auto" w:fill="F2F5F9"/>
          </w:tcPr>
          <w:p>
            <w:r/>
            <w:r>
              <w:rPr>
                <w:sz w:val="17"/>
              </w:rPr>
              <w:t>74,8%</w:t>
            </w:r>
          </w:p>
        </w:tc>
      </w:tr>
    </w:tbl>
    <w:p/>
    <w:p>
      <w:pPr>
        <w:jc w:val="center"/>
      </w:pPr>
      <w:r>
        <w:drawing>
          <wp:inline xmlns:a="http://schemas.openxmlformats.org/drawingml/2006/main" xmlns:pic="http://schemas.openxmlformats.org/drawingml/2006/picture">
            <wp:extent cx="5760000" cy="2568649"/>
            <wp:docPr id="7" name="Picture 7"/>
            <wp:cNvGraphicFramePr>
              <a:graphicFrameLocks noChangeAspect="1"/>
            </wp:cNvGraphicFramePr>
            <a:graphic>
              <a:graphicData uri="http://schemas.openxmlformats.org/drawingml/2006/picture">
                <pic:pic>
                  <pic:nvPicPr>
                    <pic:cNvPr id="0" name="f7_abanico.png"/>
                    <pic:cNvPicPr/>
                  </pic:nvPicPr>
                  <pic:blipFill>
                    <a:blip r:embed="rId15"/>
                    <a:stretch>
                      <a:fillRect/>
                    </a:stretch>
                  </pic:blipFill>
                  <pic:spPr>
                    <a:xfrm>
                      <a:off x="0" y="0"/>
                      <a:ext cx="5760000" cy="2568649"/>
                    </a:xfrm>
                    <a:prstGeom prst="rect"/>
                  </pic:spPr>
                </pic:pic>
              </a:graphicData>
            </a:graphic>
          </wp:inline>
        </w:drawing>
      </w:r>
    </w:p>
    <w:p>
      <w:pPr>
        <w:jc w:val="center"/>
      </w:pPr>
      <w:r>
        <w:rPr>
          <w:i/>
          <w:sz w:val="16"/>
        </w:rPr>
        <w:t>Figura 7. Abanico del patrimonio real (percentiles 10-90). Escalas distintas en cada panel. La caída del año 25 es la compra de Villarrica.</w:t>
      </w:r>
    </w:p>
    <w:p>
      <w:r>
        <w:rPr>
          <w:i w:val="0"/>
        </w:rPr>
        <w:t>Distribución del patrimonio (prospectivo, USD de hoy): al iniciar Educación (año 14) la mediana es USD 436.784 y el 10% peor USD 293.358, muy por sobre los ~USD 143.000 que cuesta Educación completa; antes de Villarrica (año 25) la mediana es USD 617.754 frente a un desembolso de ~USD 470.000; al año 50 la mediana es USD 414.318, bajo la meta de herencia de USD 500.000. Es la misma conclusión de la TIR: Educación está holgada, Villarrica es ajustada y la herencia es la variable de ajuste.</w:t>
      </w:r>
    </w:p>
    <w:p>
      <w:pPr>
        <w:pStyle w:val="Heading3"/>
      </w:pPr>
      <w:r>
        <w:t>Capital humano: desempleo de Tomás</w:t>
      </w:r>
    </w:p>
    <w:tbl>
      <w:tblPr>
        <w:tblStyle w:val="TableGrid"/>
        <w:tblW w:type="auto" w:w="0"/>
        <w:jc w:val="center"/>
        <w:tblLook w:firstColumn="1" w:firstRow="1" w:lastColumn="0" w:lastRow="0" w:noHBand="0" w:noVBand="1" w:val="04A0"/>
      </w:tblPr>
      <w:tblGrid>
        <w:gridCol w:w="1605"/>
        <w:gridCol w:w="1605"/>
        <w:gridCol w:w="1605"/>
        <w:gridCol w:w="1605"/>
        <w:gridCol w:w="1605"/>
        <w:gridCol w:w="1605"/>
      </w:tblGrid>
      <w:tr>
        <w:tc>
          <w:tcPr>
            <w:tcW w:type="dxa" w:w="3742"/>
            <w:shd w:val="clear" w:color="auto" w:fill="1F3A5F"/>
          </w:tcPr>
          <w:p>
            <w:r/>
            <w:r>
              <w:rPr>
                <w:b/>
                <w:color w:val="FFFFFF"/>
                <w:sz w:val="15"/>
              </w:rPr>
              <w:t>Escenario de empleo</w:t>
            </w:r>
          </w:p>
        </w:tc>
        <w:tc>
          <w:tcPr>
            <w:tcW w:type="dxa" w:w="1134"/>
            <w:shd w:val="clear" w:color="auto" w:fill="1F3A5F"/>
          </w:tcPr>
          <w:p>
            <w:r/>
            <w:r>
              <w:rPr>
                <w:b/>
                <w:color w:val="FFFFFF"/>
                <w:sz w:val="15"/>
              </w:rPr>
              <w:t>Mercado</w:t>
            </w:r>
          </w:p>
        </w:tc>
        <w:tc>
          <w:tcPr>
            <w:tcW w:type="dxa" w:w="1020"/>
            <w:shd w:val="clear" w:color="auto" w:fill="1F3A5F"/>
          </w:tcPr>
          <w:p>
            <w:r/>
            <w:r>
              <w:rPr>
                <w:b/>
                <w:color w:val="FFFFFF"/>
                <w:sz w:val="15"/>
              </w:rPr>
              <w:t>P(Educación)</w:t>
            </w:r>
          </w:p>
        </w:tc>
        <w:tc>
          <w:tcPr>
            <w:tcW w:type="dxa" w:w="1077"/>
            <w:shd w:val="clear" w:color="auto" w:fill="1F3A5F"/>
          </w:tcPr>
          <w:p>
            <w:r/>
            <w:r>
              <w:rPr>
                <w:b/>
                <w:color w:val="FFFFFF"/>
                <w:sz w:val="15"/>
              </w:rPr>
              <w:t>P(Villarrica)</w:t>
            </w:r>
          </w:p>
        </w:tc>
        <w:tc>
          <w:tcPr>
            <w:tcW w:type="dxa" w:w="1020"/>
            <w:shd w:val="clear" w:color="auto" w:fill="1F3A5F"/>
          </w:tcPr>
          <w:p>
            <w:r/>
            <w:r>
              <w:rPr>
                <w:b/>
                <w:color w:val="FFFFFF"/>
                <w:sz w:val="15"/>
              </w:rPr>
              <w:t>P(Herencia)</w:t>
            </w:r>
          </w:p>
        </w:tc>
        <w:tc>
          <w:tcPr>
            <w:tcW w:type="dxa" w:w="1077"/>
            <w:shd w:val="clear" w:color="auto" w:fill="1F3A5F"/>
          </w:tcPr>
          <w:p>
            <w:r/>
            <w:r>
              <w:rPr>
                <w:b/>
                <w:color w:val="FFFFFF"/>
                <w:sz w:val="15"/>
              </w:rPr>
              <w:t>P(3 objetivos)</w:t>
            </w:r>
          </w:p>
        </w:tc>
      </w:tr>
      <w:tr>
        <w:tc>
          <w:tcPr>
            <w:tcW w:type="dxa" w:w="3742"/>
          </w:tcPr>
          <w:p>
            <w:r/>
            <w:r>
              <w:rPr>
                <w:sz w:val="15"/>
              </w:rPr>
              <w:t>Sin desempleo (base)</w:t>
            </w:r>
          </w:p>
        </w:tc>
        <w:tc>
          <w:tcPr>
            <w:tcW w:type="dxa" w:w="1134"/>
          </w:tcPr>
          <w:p>
            <w:r/>
            <w:r>
              <w:rPr>
                <w:sz w:val="15"/>
              </w:rPr>
              <w:t>Histórico</w:t>
            </w:r>
          </w:p>
        </w:tc>
        <w:tc>
          <w:tcPr>
            <w:tcW w:type="dxa" w:w="1020"/>
          </w:tcPr>
          <w:p>
            <w:r/>
            <w:r>
              <w:rPr>
                <w:sz w:val="15"/>
              </w:rPr>
              <w:t>100,0%</w:t>
            </w:r>
          </w:p>
        </w:tc>
        <w:tc>
          <w:tcPr>
            <w:tcW w:type="dxa" w:w="1077"/>
          </w:tcPr>
          <w:p>
            <w:r/>
            <w:r>
              <w:rPr>
                <w:sz w:val="15"/>
              </w:rPr>
              <w:t>98,1%</w:t>
            </w:r>
          </w:p>
        </w:tc>
        <w:tc>
          <w:tcPr>
            <w:tcW w:type="dxa" w:w="1020"/>
          </w:tcPr>
          <w:p>
            <w:r/>
            <w:r>
              <w:rPr>
                <w:sz w:val="15"/>
              </w:rPr>
              <w:t>96,0%</w:t>
            </w:r>
          </w:p>
        </w:tc>
        <w:tc>
          <w:tcPr>
            <w:tcW w:type="dxa" w:w="1077"/>
          </w:tcPr>
          <w:p>
            <w:r/>
            <w:r>
              <w:rPr>
                <w:sz w:val="15"/>
              </w:rPr>
              <w:t>96,0%</w:t>
            </w:r>
          </w:p>
        </w:tc>
      </w:tr>
      <w:tr>
        <w:tc>
          <w:tcPr>
            <w:tcW w:type="dxa" w:w="3742"/>
            <w:shd w:val="clear" w:color="auto" w:fill="F2F5F9"/>
          </w:tcPr>
          <w:p>
            <w:r/>
            <w:r>
              <w:rPr>
                <w:sz w:val="15"/>
              </w:rPr>
              <w:t>Sin desempleo (base)</w:t>
            </w:r>
          </w:p>
        </w:tc>
        <w:tc>
          <w:tcPr>
            <w:tcW w:type="dxa" w:w="1134"/>
            <w:shd w:val="clear" w:color="auto" w:fill="F2F5F9"/>
          </w:tcPr>
          <w:p>
            <w:r/>
            <w:r>
              <w:rPr>
                <w:sz w:val="15"/>
              </w:rPr>
              <w:t>Prospectivo</w:t>
            </w:r>
          </w:p>
        </w:tc>
        <w:tc>
          <w:tcPr>
            <w:tcW w:type="dxa" w:w="1020"/>
            <w:shd w:val="clear" w:color="auto" w:fill="F2F5F9"/>
          </w:tcPr>
          <w:p>
            <w:r/>
            <w:r>
              <w:rPr>
                <w:sz w:val="15"/>
              </w:rPr>
              <w:t>100,0%</w:t>
            </w:r>
          </w:p>
        </w:tc>
        <w:tc>
          <w:tcPr>
            <w:tcW w:type="dxa" w:w="1077"/>
            <w:shd w:val="clear" w:color="auto" w:fill="F2F5F9"/>
          </w:tcPr>
          <w:p>
            <w:r/>
            <w:r>
              <w:rPr>
                <w:sz w:val="15"/>
              </w:rPr>
              <w:t>71,3%</w:t>
            </w:r>
          </w:p>
        </w:tc>
        <w:tc>
          <w:tcPr>
            <w:tcW w:type="dxa" w:w="1020"/>
            <w:shd w:val="clear" w:color="auto" w:fill="F2F5F9"/>
          </w:tcPr>
          <w:p>
            <w:r/>
            <w:r>
              <w:rPr>
                <w:sz w:val="15"/>
              </w:rPr>
              <w:t>46,5%</w:t>
            </w:r>
          </w:p>
        </w:tc>
        <w:tc>
          <w:tcPr>
            <w:tcW w:type="dxa" w:w="1077"/>
            <w:shd w:val="clear" w:color="auto" w:fill="F2F5F9"/>
          </w:tcPr>
          <w:p>
            <w:r/>
            <w:r>
              <w:rPr>
                <w:sz w:val="15"/>
              </w:rPr>
              <w:t>46,5%</w:t>
            </w:r>
          </w:p>
        </w:tc>
      </w:tr>
      <w:tr>
        <w:tc>
          <w:tcPr>
            <w:tcW w:type="dxa" w:w="3742"/>
          </w:tcPr>
          <w:p>
            <w:r/>
            <w:r>
              <w:rPr>
                <w:sz w:val="15"/>
              </w:rPr>
              <w:t>5% anual, independiente del mercado; reempleo en ~2 años</w:t>
            </w:r>
          </w:p>
        </w:tc>
        <w:tc>
          <w:tcPr>
            <w:tcW w:type="dxa" w:w="1134"/>
          </w:tcPr>
          <w:p>
            <w:r/>
            <w:r>
              <w:rPr>
                <w:sz w:val="15"/>
              </w:rPr>
              <w:t>Histórico</w:t>
            </w:r>
          </w:p>
        </w:tc>
        <w:tc>
          <w:tcPr>
            <w:tcW w:type="dxa" w:w="1020"/>
          </w:tcPr>
          <w:p>
            <w:r/>
            <w:r>
              <w:rPr>
                <w:sz w:val="15"/>
              </w:rPr>
              <w:t>100,0%</w:t>
            </w:r>
          </w:p>
        </w:tc>
        <w:tc>
          <w:tcPr>
            <w:tcW w:type="dxa" w:w="1077"/>
          </w:tcPr>
          <w:p>
            <w:r/>
            <w:r>
              <w:rPr>
                <w:sz w:val="15"/>
              </w:rPr>
              <w:t>97,4%</w:t>
            </w:r>
          </w:p>
        </w:tc>
        <w:tc>
          <w:tcPr>
            <w:tcW w:type="dxa" w:w="1020"/>
          </w:tcPr>
          <w:p>
            <w:r/>
            <w:r>
              <w:rPr>
                <w:sz w:val="15"/>
              </w:rPr>
              <w:t>94,8%</w:t>
            </w:r>
          </w:p>
        </w:tc>
        <w:tc>
          <w:tcPr>
            <w:tcW w:type="dxa" w:w="1077"/>
          </w:tcPr>
          <w:p>
            <w:r/>
            <w:r>
              <w:rPr>
                <w:sz w:val="15"/>
              </w:rPr>
              <w:t>94,8%</w:t>
            </w:r>
          </w:p>
        </w:tc>
      </w:tr>
      <w:tr>
        <w:tc>
          <w:tcPr>
            <w:tcW w:type="dxa" w:w="3742"/>
            <w:shd w:val="clear" w:color="auto" w:fill="F2F5F9"/>
          </w:tcPr>
          <w:p>
            <w:r/>
            <w:r>
              <w:rPr>
                <w:sz w:val="15"/>
              </w:rPr>
              <w:t>5% anual, independiente del mercado; reempleo en ~2 años</w:t>
            </w:r>
          </w:p>
        </w:tc>
        <w:tc>
          <w:tcPr>
            <w:tcW w:type="dxa" w:w="1134"/>
            <w:shd w:val="clear" w:color="auto" w:fill="F2F5F9"/>
          </w:tcPr>
          <w:p>
            <w:r/>
            <w:r>
              <w:rPr>
                <w:sz w:val="15"/>
              </w:rPr>
              <w:t>Prospectivo</w:t>
            </w:r>
          </w:p>
        </w:tc>
        <w:tc>
          <w:tcPr>
            <w:tcW w:type="dxa" w:w="1020"/>
            <w:shd w:val="clear" w:color="auto" w:fill="F2F5F9"/>
          </w:tcPr>
          <w:p>
            <w:r/>
            <w:r>
              <w:rPr>
                <w:sz w:val="15"/>
              </w:rPr>
              <w:t>100,0%</w:t>
            </w:r>
          </w:p>
        </w:tc>
        <w:tc>
          <w:tcPr>
            <w:tcW w:type="dxa" w:w="1077"/>
            <w:shd w:val="clear" w:color="auto" w:fill="F2F5F9"/>
          </w:tcPr>
          <w:p>
            <w:r/>
            <w:r>
              <w:rPr>
                <w:sz w:val="15"/>
              </w:rPr>
              <w:t>66,8%</w:t>
            </w:r>
          </w:p>
        </w:tc>
        <w:tc>
          <w:tcPr>
            <w:tcW w:type="dxa" w:w="1020"/>
            <w:shd w:val="clear" w:color="auto" w:fill="F2F5F9"/>
          </w:tcPr>
          <w:p>
            <w:r/>
            <w:r>
              <w:rPr>
                <w:sz w:val="15"/>
              </w:rPr>
              <w:t>42,4%</w:t>
            </w:r>
          </w:p>
        </w:tc>
        <w:tc>
          <w:tcPr>
            <w:tcW w:type="dxa" w:w="1077"/>
            <w:shd w:val="clear" w:color="auto" w:fill="F2F5F9"/>
          </w:tcPr>
          <w:p>
            <w:r/>
            <w:r>
              <w:rPr>
                <w:sz w:val="15"/>
              </w:rPr>
              <w:t>42,4%</w:t>
            </w:r>
          </w:p>
        </w:tc>
      </w:tr>
      <w:tr>
        <w:tc>
          <w:tcPr>
            <w:tcW w:type="dxa" w:w="3742"/>
          </w:tcPr>
          <w:p>
            <w:r/>
            <w:r>
              <w:rPr>
                <w:sz w:val="15"/>
              </w:rPr>
              <w:t>5% normal y 25% si la cartera cayó &gt;10% en 12 meses; reempleo ~2 años</w:t>
            </w:r>
          </w:p>
        </w:tc>
        <w:tc>
          <w:tcPr>
            <w:tcW w:type="dxa" w:w="1134"/>
          </w:tcPr>
          <w:p>
            <w:r/>
            <w:r>
              <w:rPr>
                <w:sz w:val="15"/>
              </w:rPr>
              <w:t>Histórico</w:t>
            </w:r>
          </w:p>
        </w:tc>
        <w:tc>
          <w:tcPr>
            <w:tcW w:type="dxa" w:w="1020"/>
          </w:tcPr>
          <w:p>
            <w:r/>
            <w:r>
              <w:rPr>
                <w:sz w:val="15"/>
              </w:rPr>
              <w:t>100,0%</w:t>
            </w:r>
          </w:p>
        </w:tc>
        <w:tc>
          <w:tcPr>
            <w:tcW w:type="dxa" w:w="1077"/>
          </w:tcPr>
          <w:p>
            <w:r/>
            <w:r>
              <w:rPr>
                <w:sz w:val="15"/>
              </w:rPr>
              <w:t>97,1%</w:t>
            </w:r>
          </w:p>
        </w:tc>
        <w:tc>
          <w:tcPr>
            <w:tcW w:type="dxa" w:w="1020"/>
          </w:tcPr>
          <w:p>
            <w:r/>
            <w:r>
              <w:rPr>
                <w:sz w:val="15"/>
              </w:rPr>
              <w:t>94,4%</w:t>
            </w:r>
          </w:p>
        </w:tc>
        <w:tc>
          <w:tcPr>
            <w:tcW w:type="dxa" w:w="1077"/>
          </w:tcPr>
          <w:p>
            <w:r/>
            <w:r>
              <w:rPr>
                <w:sz w:val="15"/>
              </w:rPr>
              <w:t>94,4%</w:t>
            </w:r>
          </w:p>
        </w:tc>
      </w:tr>
      <w:tr>
        <w:tc>
          <w:tcPr>
            <w:tcW w:type="dxa" w:w="3742"/>
            <w:shd w:val="clear" w:color="auto" w:fill="F2F5F9"/>
          </w:tcPr>
          <w:p>
            <w:r/>
            <w:r>
              <w:rPr>
                <w:sz w:val="15"/>
              </w:rPr>
              <w:t>5% normal y 25% si la cartera cayó &gt;10% en 12 meses; reempleo ~2 años</w:t>
            </w:r>
          </w:p>
        </w:tc>
        <w:tc>
          <w:tcPr>
            <w:tcW w:type="dxa" w:w="1134"/>
            <w:shd w:val="clear" w:color="auto" w:fill="F2F5F9"/>
          </w:tcPr>
          <w:p>
            <w:r/>
            <w:r>
              <w:rPr>
                <w:sz w:val="15"/>
              </w:rPr>
              <w:t>Prospectivo</w:t>
            </w:r>
          </w:p>
        </w:tc>
        <w:tc>
          <w:tcPr>
            <w:tcW w:type="dxa" w:w="1020"/>
            <w:shd w:val="clear" w:color="auto" w:fill="F2F5F9"/>
          </w:tcPr>
          <w:p>
            <w:r/>
            <w:r>
              <w:rPr>
                <w:sz w:val="15"/>
              </w:rPr>
              <w:t>100,0%</w:t>
            </w:r>
          </w:p>
        </w:tc>
        <w:tc>
          <w:tcPr>
            <w:tcW w:type="dxa" w:w="1077"/>
            <w:shd w:val="clear" w:color="auto" w:fill="F2F5F9"/>
          </w:tcPr>
          <w:p>
            <w:r/>
            <w:r>
              <w:rPr>
                <w:sz w:val="15"/>
              </w:rPr>
              <w:t>65,4%</w:t>
            </w:r>
          </w:p>
        </w:tc>
        <w:tc>
          <w:tcPr>
            <w:tcW w:type="dxa" w:w="1020"/>
            <w:shd w:val="clear" w:color="auto" w:fill="F2F5F9"/>
          </w:tcPr>
          <w:p>
            <w:r/>
            <w:r>
              <w:rPr>
                <w:sz w:val="15"/>
              </w:rPr>
              <w:t>41,4%</w:t>
            </w:r>
          </w:p>
        </w:tc>
        <w:tc>
          <w:tcPr>
            <w:tcW w:type="dxa" w:w="1077"/>
            <w:shd w:val="clear" w:color="auto" w:fill="F2F5F9"/>
          </w:tcPr>
          <w:p>
            <w:r/>
            <w:r>
              <w:rPr>
                <w:sz w:val="15"/>
              </w:rPr>
              <w:t>41,4%</w:t>
            </w:r>
          </w:p>
        </w:tc>
      </w:tr>
      <w:tr>
        <w:tc>
          <w:tcPr>
            <w:tcW w:type="dxa" w:w="3742"/>
          </w:tcPr>
          <w:p>
            <w:r/>
            <w:r>
              <w:rPr>
                <w:sz w:val="15"/>
              </w:rPr>
              <w:t>10% normal y 40% si la cartera cayó &gt;10%; reempleo ~2 años</w:t>
            </w:r>
          </w:p>
        </w:tc>
        <w:tc>
          <w:tcPr>
            <w:tcW w:type="dxa" w:w="1134"/>
          </w:tcPr>
          <w:p>
            <w:r/>
            <w:r>
              <w:rPr>
                <w:sz w:val="15"/>
              </w:rPr>
              <w:t>Histórico</w:t>
            </w:r>
          </w:p>
        </w:tc>
        <w:tc>
          <w:tcPr>
            <w:tcW w:type="dxa" w:w="1020"/>
          </w:tcPr>
          <w:p>
            <w:r/>
            <w:r>
              <w:rPr>
                <w:sz w:val="15"/>
              </w:rPr>
              <w:t>100,0%</w:t>
            </w:r>
          </w:p>
        </w:tc>
        <w:tc>
          <w:tcPr>
            <w:tcW w:type="dxa" w:w="1077"/>
          </w:tcPr>
          <w:p>
            <w:r/>
            <w:r>
              <w:rPr>
                <w:sz w:val="15"/>
              </w:rPr>
              <w:t>96,4%</w:t>
            </w:r>
          </w:p>
        </w:tc>
        <w:tc>
          <w:tcPr>
            <w:tcW w:type="dxa" w:w="1020"/>
          </w:tcPr>
          <w:p>
            <w:r/>
            <w:r>
              <w:rPr>
                <w:sz w:val="15"/>
              </w:rPr>
              <w:t>93,0%</w:t>
            </w:r>
          </w:p>
        </w:tc>
        <w:tc>
          <w:tcPr>
            <w:tcW w:type="dxa" w:w="1077"/>
          </w:tcPr>
          <w:p>
            <w:r/>
            <w:r>
              <w:rPr>
                <w:sz w:val="15"/>
              </w:rPr>
              <w:t>93,0%</w:t>
            </w:r>
          </w:p>
        </w:tc>
      </w:tr>
      <w:tr>
        <w:tc>
          <w:tcPr>
            <w:tcW w:type="dxa" w:w="3742"/>
            <w:shd w:val="clear" w:color="auto" w:fill="F2F5F9"/>
          </w:tcPr>
          <w:p>
            <w:r/>
            <w:r>
              <w:rPr>
                <w:sz w:val="15"/>
              </w:rPr>
              <w:t>10% normal y 40% si la cartera cayó &gt;10%; reempleo ~2 años</w:t>
            </w:r>
          </w:p>
        </w:tc>
        <w:tc>
          <w:tcPr>
            <w:tcW w:type="dxa" w:w="1134"/>
            <w:shd w:val="clear" w:color="auto" w:fill="F2F5F9"/>
          </w:tcPr>
          <w:p>
            <w:r/>
            <w:r>
              <w:rPr>
                <w:sz w:val="15"/>
              </w:rPr>
              <w:t>Prospectivo</w:t>
            </w:r>
          </w:p>
        </w:tc>
        <w:tc>
          <w:tcPr>
            <w:tcW w:type="dxa" w:w="1020"/>
            <w:shd w:val="clear" w:color="auto" w:fill="F2F5F9"/>
          </w:tcPr>
          <w:p>
            <w:r/>
            <w:r>
              <w:rPr>
                <w:sz w:val="15"/>
              </w:rPr>
              <w:t>100,0%</w:t>
            </w:r>
          </w:p>
        </w:tc>
        <w:tc>
          <w:tcPr>
            <w:tcW w:type="dxa" w:w="1077"/>
            <w:shd w:val="clear" w:color="auto" w:fill="F2F5F9"/>
          </w:tcPr>
          <w:p>
            <w:r/>
            <w:r>
              <w:rPr>
                <w:sz w:val="15"/>
              </w:rPr>
              <w:t>61,1%</w:t>
            </w:r>
          </w:p>
        </w:tc>
        <w:tc>
          <w:tcPr>
            <w:tcW w:type="dxa" w:w="1020"/>
            <w:shd w:val="clear" w:color="auto" w:fill="F2F5F9"/>
          </w:tcPr>
          <w:p>
            <w:r/>
            <w:r>
              <w:rPr>
                <w:sz w:val="15"/>
              </w:rPr>
              <w:t>37,7%</w:t>
            </w:r>
          </w:p>
        </w:tc>
        <w:tc>
          <w:tcPr>
            <w:tcW w:type="dxa" w:w="1077"/>
            <w:shd w:val="clear" w:color="auto" w:fill="F2F5F9"/>
          </w:tcPr>
          <w:p>
            <w:r/>
            <w:r>
              <w:rPr>
                <w:sz w:val="15"/>
              </w:rPr>
              <w:t>37,7%</w:t>
            </w:r>
          </w:p>
        </w:tc>
      </w:tr>
      <w:tr>
        <w:tc>
          <w:tcPr>
            <w:tcW w:type="dxa" w:w="3742"/>
          </w:tcPr>
          <w:p>
            <w:r/>
            <w:r>
              <w:rPr>
                <w:sz w:val="15"/>
              </w:rPr>
              <w:t>Estrés: 6% anual y pérdida PERMANENTE (sin reempleo)</w:t>
            </w:r>
          </w:p>
        </w:tc>
        <w:tc>
          <w:tcPr>
            <w:tcW w:type="dxa" w:w="1134"/>
          </w:tcPr>
          <w:p>
            <w:r/>
            <w:r>
              <w:rPr>
                <w:sz w:val="15"/>
              </w:rPr>
              <w:t>Histórico</w:t>
            </w:r>
          </w:p>
        </w:tc>
        <w:tc>
          <w:tcPr>
            <w:tcW w:type="dxa" w:w="1020"/>
          </w:tcPr>
          <w:p>
            <w:r/>
            <w:r>
              <w:rPr>
                <w:sz w:val="15"/>
              </w:rPr>
              <w:t>100,0%</w:t>
            </w:r>
          </w:p>
        </w:tc>
        <w:tc>
          <w:tcPr>
            <w:tcW w:type="dxa" w:w="1077"/>
          </w:tcPr>
          <w:p>
            <w:r/>
            <w:r>
              <w:rPr>
                <w:sz w:val="15"/>
              </w:rPr>
              <w:t>91,2%</w:t>
            </w:r>
          </w:p>
        </w:tc>
        <w:tc>
          <w:tcPr>
            <w:tcW w:type="dxa" w:w="1020"/>
          </w:tcPr>
          <w:p>
            <w:r/>
            <w:r>
              <w:rPr>
                <w:sz w:val="15"/>
              </w:rPr>
              <w:t>86,6%</w:t>
            </w:r>
          </w:p>
        </w:tc>
        <w:tc>
          <w:tcPr>
            <w:tcW w:type="dxa" w:w="1077"/>
          </w:tcPr>
          <w:p>
            <w:r/>
            <w:r>
              <w:rPr>
                <w:sz w:val="15"/>
              </w:rPr>
              <w:t>86,6%</w:t>
            </w:r>
          </w:p>
        </w:tc>
      </w:tr>
      <w:tr>
        <w:tc>
          <w:tcPr>
            <w:tcW w:type="dxa" w:w="3742"/>
            <w:shd w:val="clear" w:color="auto" w:fill="F2F5F9"/>
          </w:tcPr>
          <w:p>
            <w:r/>
            <w:r>
              <w:rPr>
                <w:sz w:val="15"/>
              </w:rPr>
              <w:t>Estrés: 6% anual y pérdida PERMANENTE (sin reempleo)</w:t>
            </w:r>
          </w:p>
        </w:tc>
        <w:tc>
          <w:tcPr>
            <w:tcW w:type="dxa" w:w="1134"/>
            <w:shd w:val="clear" w:color="auto" w:fill="F2F5F9"/>
          </w:tcPr>
          <w:p>
            <w:r/>
            <w:r>
              <w:rPr>
                <w:sz w:val="15"/>
              </w:rPr>
              <w:t>Prospectivo</w:t>
            </w:r>
          </w:p>
        </w:tc>
        <w:tc>
          <w:tcPr>
            <w:tcW w:type="dxa" w:w="1020"/>
            <w:shd w:val="clear" w:color="auto" w:fill="F2F5F9"/>
          </w:tcPr>
          <w:p>
            <w:r/>
            <w:r>
              <w:rPr>
                <w:sz w:val="15"/>
              </w:rPr>
              <w:t>99,6%</w:t>
            </w:r>
          </w:p>
        </w:tc>
        <w:tc>
          <w:tcPr>
            <w:tcW w:type="dxa" w:w="1077"/>
            <w:shd w:val="clear" w:color="auto" w:fill="F2F5F9"/>
          </w:tcPr>
          <w:p>
            <w:r/>
            <w:r>
              <w:rPr>
                <w:sz w:val="15"/>
              </w:rPr>
              <w:t>50,0%</w:t>
            </w:r>
          </w:p>
        </w:tc>
        <w:tc>
          <w:tcPr>
            <w:tcW w:type="dxa" w:w="1020"/>
            <w:shd w:val="clear" w:color="auto" w:fill="F2F5F9"/>
          </w:tcPr>
          <w:p>
            <w:r/>
            <w:r>
              <w:rPr>
                <w:sz w:val="15"/>
              </w:rPr>
              <w:t>30,2%</w:t>
            </w:r>
          </w:p>
        </w:tc>
        <w:tc>
          <w:tcPr>
            <w:tcW w:type="dxa" w:w="1077"/>
            <w:shd w:val="clear" w:color="auto" w:fill="F2F5F9"/>
          </w:tcPr>
          <w:p>
            <w:r/>
            <w:r>
              <w:rPr>
                <w:sz w:val="15"/>
              </w:rPr>
              <w:t>30,2%</w:t>
            </w:r>
          </w:p>
        </w:tc>
      </w:tr>
    </w:tbl>
    <w:p>
      <w:r>
        <w:rPr>
          <w:i/>
          <w:sz w:val="16"/>
        </w:rPr>
        <w:t>El empleo de Tomás (software) se comporta como una acción tecnológica: la probabilidad de perderlo sube cuando la cartera cae. Mientras está desempleado no aporta; se reemplea con 50% anual (~2 años en promedio). El escenario de estrés supone pérdida permanente.</w:t>
      </w:r>
    </w:p>
    <w:p>
      <w:r>
        <w:rPr>
          <w:i w:val="0"/>
        </w:rPr>
        <w:t>Lectura: Educación resiste incluso la pérdida permanente del empleo (99,6% en el escenario prospectivo). El riesgo de capital humano recae sobre Villarrica y la herencia: con desempleo correlacionado con el mercado, la probabilidad conjunta histórica baja de 96,0% a 93,0%. Mitigantes: fondo de emergencia fuera del mandato, seguro de vida e invalidez, y el límite a tecnología en la cartera para no duplicar la exposición del ingreso de Tomás.</w:t>
      </w:r>
    </w:p>
    <w:p>
      <w:pPr>
        <w:pStyle w:val="Heading2"/>
      </w:pPr>
      <w:r>
        <w:t>4.3 Validación del modelo</w:t>
      </w:r>
    </w:p>
    <w:p>
      <w:r>
        <w:rPr>
          <w:i w:val="0"/>
        </w:rPr>
        <w:t>Correcciones respecto de la versión anterior del modelo. La auditoría encontró tres problemas que afectaban los resultados; esta versión los corrige y mide su efecto:</w:t>
      </w:r>
    </w:p>
    <w:tbl>
      <w:tblPr>
        <w:tblStyle w:val="TableGrid"/>
        <w:tblW w:type="auto" w:w="0"/>
        <w:jc w:val="center"/>
        <w:tblLook w:firstColumn="1" w:firstRow="1" w:lastColumn="0" w:lastRow="0" w:noHBand="0" w:noVBand="1" w:val="04A0"/>
      </w:tblPr>
      <w:tblGrid>
        <w:gridCol w:w="1070"/>
        <w:gridCol w:w="1070"/>
        <w:gridCol w:w="1070"/>
        <w:gridCol w:w="1070"/>
        <w:gridCol w:w="1070"/>
        <w:gridCol w:w="1070"/>
        <w:gridCol w:w="1070"/>
        <w:gridCol w:w="1070"/>
        <w:gridCol w:w="1070"/>
      </w:tblGrid>
      <w:tr>
        <w:tc>
          <w:tcPr>
            <w:tcW w:type="dxa" w:w="3175"/>
            <w:shd w:val="clear" w:color="auto" w:fill="1F3A5F"/>
          </w:tcPr>
          <w:p>
            <w:r/>
            <w:r>
              <w:rPr>
                <w:b/>
                <w:color w:val="FFFFFF"/>
                <w:sz w:val="15"/>
              </w:rPr>
              <w:t>Versión</w:t>
            </w:r>
          </w:p>
        </w:tc>
        <w:tc>
          <w:tcPr>
            <w:tcW w:type="dxa" w:w="624"/>
            <w:shd w:val="clear" w:color="auto" w:fill="1F3A5F"/>
          </w:tcPr>
          <w:p>
            <w:r/>
            <w:r>
              <w:rPr>
                <w:b/>
                <w:color w:val="FFFFFF"/>
                <w:sz w:val="15"/>
              </w:rPr>
              <w:t>Meses</w:t>
            </w:r>
          </w:p>
        </w:tc>
        <w:tc>
          <w:tcPr>
            <w:tcW w:type="dxa" w:w="850"/>
            <w:shd w:val="clear" w:color="auto" w:fill="1F3A5F"/>
          </w:tcPr>
          <w:p>
            <w:r/>
            <w:r>
              <w:rPr>
                <w:b/>
                <w:color w:val="FFFFFF"/>
                <w:sz w:val="15"/>
              </w:rPr>
              <w:t>Momentum</w:t>
            </w:r>
          </w:p>
        </w:tc>
        <w:tc>
          <w:tcPr>
            <w:tcW w:type="dxa" w:w="794"/>
            <w:shd w:val="clear" w:color="auto" w:fill="1F3A5F"/>
          </w:tcPr>
          <w:p>
            <w:r/>
            <w:r>
              <w:rPr>
                <w:b/>
                <w:color w:val="FFFFFF"/>
                <w:sz w:val="15"/>
              </w:rPr>
              <w:t>Low-Vol</w:t>
            </w:r>
          </w:p>
        </w:tc>
        <w:tc>
          <w:tcPr>
            <w:tcW w:type="dxa" w:w="794"/>
            <w:shd w:val="clear" w:color="auto" w:fill="1F3A5F"/>
          </w:tcPr>
          <w:p>
            <w:r/>
            <w:r>
              <w:rPr>
                <w:b/>
                <w:color w:val="FFFFFF"/>
                <w:sz w:val="15"/>
              </w:rPr>
              <w:t>Commod.</w:t>
            </w:r>
          </w:p>
        </w:tc>
        <w:tc>
          <w:tcPr>
            <w:tcW w:type="dxa" w:w="907"/>
            <w:shd w:val="clear" w:color="auto" w:fill="1F3A5F"/>
          </w:tcPr>
          <w:p>
            <w:r/>
            <w:r>
              <w:rPr>
                <w:b/>
                <w:color w:val="FFFFFF"/>
                <w:sz w:val="15"/>
              </w:rPr>
              <w:t>Cartera CAGR</w:t>
            </w:r>
          </w:p>
        </w:tc>
        <w:tc>
          <w:tcPr>
            <w:tcW w:type="dxa" w:w="680"/>
            <w:shd w:val="clear" w:color="auto" w:fill="1F3A5F"/>
          </w:tcPr>
          <w:p>
            <w:r/>
            <w:r>
              <w:rPr>
                <w:b/>
                <w:color w:val="FFFFFF"/>
                <w:sz w:val="15"/>
              </w:rPr>
              <w:t>Sharpe</w:t>
            </w:r>
          </w:p>
        </w:tc>
        <w:tc>
          <w:tcPr>
            <w:tcW w:type="dxa" w:w="737"/>
            <w:shd w:val="clear" w:color="auto" w:fill="1F3A5F"/>
          </w:tcPr>
          <w:p>
            <w:r/>
            <w:r>
              <w:rPr>
                <w:b/>
                <w:color w:val="FFFFFF"/>
                <w:sz w:val="15"/>
              </w:rPr>
              <w:t>BL SPY</w:t>
            </w:r>
          </w:p>
        </w:tc>
        <w:tc>
          <w:tcPr>
            <w:tcW w:type="dxa" w:w="737"/>
            <w:shd w:val="clear" w:color="auto" w:fill="1F3A5F"/>
          </w:tcPr>
          <w:p>
            <w:r/>
            <w:r>
              <w:rPr>
                <w:b/>
                <w:color w:val="FFFFFF"/>
                <w:sz w:val="15"/>
              </w:rPr>
              <w:t>BL LV</w:t>
            </w:r>
          </w:p>
        </w:tc>
      </w:tr>
      <w:tr>
        <w:tc>
          <w:tcPr>
            <w:tcW w:type="dxa" w:w="3175"/>
          </w:tcPr>
          <w:p>
            <w:r/>
            <w:r>
              <w:rPr>
                <w:sz w:val="15"/>
              </w:rPr>
              <w:t>Modelo original (162 meses, vol. 1 mes)</w:t>
            </w:r>
          </w:p>
        </w:tc>
        <w:tc>
          <w:tcPr>
            <w:tcW w:type="dxa" w:w="624"/>
          </w:tcPr>
          <w:p>
            <w:r/>
            <w:r>
              <w:rPr>
                <w:sz w:val="15"/>
              </w:rPr>
              <w:t>162</w:t>
            </w:r>
          </w:p>
        </w:tc>
        <w:tc>
          <w:tcPr>
            <w:tcW w:type="dxa" w:w="850"/>
          </w:tcPr>
          <w:p>
            <w:r/>
            <w:r>
              <w:rPr>
                <w:sz w:val="15"/>
              </w:rPr>
              <w:t>16,5%</w:t>
            </w:r>
          </w:p>
        </w:tc>
        <w:tc>
          <w:tcPr>
            <w:tcW w:type="dxa" w:w="794"/>
          </w:tcPr>
          <w:p>
            <w:r/>
            <w:r>
              <w:rPr>
                <w:sz w:val="15"/>
              </w:rPr>
              <w:t>11,0%</w:t>
            </w:r>
          </w:p>
        </w:tc>
        <w:tc>
          <w:tcPr>
            <w:tcW w:type="dxa" w:w="794"/>
          </w:tcPr>
          <w:p>
            <w:r/>
            <w:r>
              <w:rPr>
                <w:sz w:val="15"/>
              </w:rPr>
              <w:t>8,5%</w:t>
            </w:r>
          </w:p>
        </w:tc>
        <w:tc>
          <w:tcPr>
            <w:tcW w:type="dxa" w:w="907"/>
          </w:tcPr>
          <w:p>
            <w:r/>
            <w:r>
              <w:rPr>
                <w:sz w:val="15"/>
              </w:rPr>
              <w:t>10,2%</w:t>
            </w:r>
          </w:p>
        </w:tc>
        <w:tc>
          <w:tcPr>
            <w:tcW w:type="dxa" w:w="680"/>
          </w:tcPr>
          <w:p>
            <w:r/>
            <w:r>
              <w:rPr>
                <w:sz w:val="15"/>
              </w:rPr>
              <w:t>0,88</w:t>
            </w:r>
          </w:p>
        </w:tc>
        <w:tc>
          <w:tcPr>
            <w:tcW w:type="dxa" w:w="737"/>
          </w:tcPr>
          <w:p>
            <w:r/>
            <w:r>
              <w:rPr>
                <w:sz w:val="15"/>
              </w:rPr>
              <w:t>37,9%</w:t>
            </w:r>
          </w:p>
        </w:tc>
        <w:tc>
          <w:tcPr>
            <w:tcW w:type="dxa" w:w="737"/>
          </w:tcPr>
          <w:p>
            <w:r/>
            <w:r>
              <w:rPr>
                <w:sz w:val="15"/>
              </w:rPr>
              <w:t>17,5%</w:t>
            </w:r>
          </w:p>
        </w:tc>
      </w:tr>
      <w:tr>
        <w:tc>
          <w:tcPr>
            <w:tcW w:type="dxa" w:w="3175"/>
            <w:shd w:val="clear" w:color="auto" w:fill="F2F5F9"/>
          </w:tcPr>
          <w:p>
            <w:r/>
            <w:r>
              <w:rPr>
                <w:sz w:val="15"/>
              </w:rPr>
              <w:t>+ incluye jul y dic 2018 (dato faltante corregido)</w:t>
            </w:r>
          </w:p>
        </w:tc>
        <w:tc>
          <w:tcPr>
            <w:tcW w:type="dxa" w:w="624"/>
            <w:shd w:val="clear" w:color="auto" w:fill="F2F5F9"/>
          </w:tcPr>
          <w:p>
            <w:r/>
            <w:r>
              <w:rPr>
                <w:sz w:val="15"/>
              </w:rPr>
              <w:t>164</w:t>
            </w:r>
          </w:p>
        </w:tc>
        <w:tc>
          <w:tcPr>
            <w:tcW w:type="dxa" w:w="850"/>
            <w:shd w:val="clear" w:color="auto" w:fill="F2F5F9"/>
          </w:tcPr>
          <w:p>
            <w:r/>
            <w:r>
              <w:rPr>
                <w:sz w:val="15"/>
              </w:rPr>
              <w:t>15,6%</w:t>
            </w:r>
          </w:p>
        </w:tc>
        <w:tc>
          <w:tcPr>
            <w:tcW w:type="dxa" w:w="794"/>
            <w:shd w:val="clear" w:color="auto" w:fill="F2F5F9"/>
          </w:tcPr>
          <w:p>
            <w:r/>
            <w:r>
              <w:rPr>
                <w:sz w:val="15"/>
              </w:rPr>
              <w:t>10,7%</w:t>
            </w:r>
          </w:p>
        </w:tc>
        <w:tc>
          <w:tcPr>
            <w:tcW w:type="dxa" w:w="794"/>
            <w:shd w:val="clear" w:color="auto" w:fill="F2F5F9"/>
          </w:tcPr>
          <w:p>
            <w:r/>
            <w:r>
              <w:rPr>
                <w:sz w:val="15"/>
              </w:rPr>
              <w:t>7,9%</w:t>
            </w:r>
          </w:p>
        </w:tc>
        <w:tc>
          <w:tcPr>
            <w:tcW w:type="dxa" w:w="907"/>
            <w:shd w:val="clear" w:color="auto" w:fill="F2F5F9"/>
          </w:tcPr>
          <w:p>
            <w:r/>
            <w:r>
              <w:rPr>
                <w:sz w:val="15"/>
              </w:rPr>
              <w:t>9,9%</w:t>
            </w:r>
          </w:p>
        </w:tc>
        <w:tc>
          <w:tcPr>
            <w:tcW w:type="dxa" w:w="680"/>
            <w:shd w:val="clear" w:color="auto" w:fill="F2F5F9"/>
          </w:tcPr>
          <w:p>
            <w:r/>
            <w:r>
              <w:rPr>
                <w:sz w:val="15"/>
              </w:rPr>
              <w:t>0,85</w:t>
            </w:r>
          </w:p>
        </w:tc>
        <w:tc>
          <w:tcPr>
            <w:tcW w:type="dxa" w:w="737"/>
            <w:shd w:val="clear" w:color="auto" w:fill="F2F5F9"/>
          </w:tcPr>
          <w:p>
            <w:r/>
            <w:r>
              <w:rPr>
                <w:sz w:val="15"/>
              </w:rPr>
              <w:t>37,3%</w:t>
            </w:r>
          </w:p>
        </w:tc>
        <w:tc>
          <w:tcPr>
            <w:tcW w:type="dxa" w:w="737"/>
            <w:shd w:val="clear" w:color="auto" w:fill="F2F5F9"/>
          </w:tcPr>
          <w:p>
            <w:r/>
            <w:r>
              <w:rPr>
                <w:sz w:val="15"/>
              </w:rPr>
              <w:t>17,3%</w:t>
            </w:r>
          </w:p>
        </w:tc>
      </w:tr>
      <w:tr>
        <w:tc>
          <w:tcPr>
            <w:tcW w:type="dxa" w:w="3175"/>
          </w:tcPr>
          <w:p>
            <w:r/>
            <w:r>
              <w:rPr>
                <w:sz w:val="15"/>
              </w:rPr>
              <w:t>+ filtro de Sharpe con vol. 12 meses (versión vigent</w:t>
            </w:r>
          </w:p>
        </w:tc>
        <w:tc>
          <w:tcPr>
            <w:tcW w:type="dxa" w:w="624"/>
          </w:tcPr>
          <w:p>
            <w:r/>
            <w:r>
              <w:rPr>
                <w:sz w:val="15"/>
              </w:rPr>
              <w:t>164</w:t>
            </w:r>
          </w:p>
        </w:tc>
        <w:tc>
          <w:tcPr>
            <w:tcW w:type="dxa" w:w="850"/>
          </w:tcPr>
          <w:p>
            <w:r/>
            <w:r>
              <w:rPr>
                <w:sz w:val="15"/>
              </w:rPr>
              <w:t>16,2%</w:t>
            </w:r>
          </w:p>
        </w:tc>
        <w:tc>
          <w:tcPr>
            <w:tcW w:type="dxa" w:w="794"/>
          </w:tcPr>
          <w:p>
            <w:r/>
            <w:r>
              <w:rPr>
                <w:sz w:val="15"/>
              </w:rPr>
              <w:t>10,7%</w:t>
            </w:r>
          </w:p>
        </w:tc>
        <w:tc>
          <w:tcPr>
            <w:tcW w:type="dxa" w:w="794"/>
          </w:tcPr>
          <w:p>
            <w:r/>
            <w:r>
              <w:rPr>
                <w:sz w:val="15"/>
              </w:rPr>
              <w:t>7,9%</w:t>
            </w:r>
          </w:p>
        </w:tc>
        <w:tc>
          <w:tcPr>
            <w:tcW w:type="dxa" w:w="907"/>
          </w:tcPr>
          <w:p>
            <w:r/>
            <w:r>
              <w:rPr>
                <w:sz w:val="15"/>
              </w:rPr>
              <w:t>10,0%</w:t>
            </w:r>
          </w:p>
        </w:tc>
        <w:tc>
          <w:tcPr>
            <w:tcW w:type="dxa" w:w="680"/>
          </w:tcPr>
          <w:p>
            <w:r/>
            <w:r>
              <w:rPr>
                <w:sz w:val="15"/>
              </w:rPr>
              <w:t>0,85</w:t>
            </w:r>
          </w:p>
        </w:tc>
        <w:tc>
          <w:tcPr>
            <w:tcW w:type="dxa" w:w="737"/>
          </w:tcPr>
          <w:p>
            <w:r/>
            <w:r>
              <w:rPr>
                <w:sz w:val="15"/>
              </w:rPr>
              <w:t>37,3%</w:t>
            </w:r>
          </w:p>
        </w:tc>
        <w:tc>
          <w:tcPr>
            <w:tcW w:type="dxa" w:w="737"/>
          </w:tcPr>
          <w:p>
            <w:r/>
            <w:r>
              <w:rPr>
                <w:sz w:val="15"/>
              </w:rPr>
              <w:t>17,2%</w:t>
            </w:r>
          </w:p>
        </w:tc>
      </w:tr>
      <w:tr>
        <w:tc>
          <w:tcPr>
            <w:tcW w:type="dxa" w:w="3175"/>
            <w:shd w:val="clear" w:color="auto" w:fill="F2F5F9"/>
          </w:tcPr>
          <w:p>
            <w:r/>
            <w:r>
              <w:rPr>
                <w:sz w:val="15"/>
              </w:rPr>
              <w:t>Sensibilidad: costos en ambos lados</w:t>
            </w:r>
          </w:p>
        </w:tc>
        <w:tc>
          <w:tcPr>
            <w:tcW w:type="dxa" w:w="624"/>
            <w:shd w:val="clear" w:color="auto" w:fill="F2F5F9"/>
          </w:tcPr>
          <w:p>
            <w:r/>
            <w:r>
              <w:rPr>
                <w:sz w:val="15"/>
              </w:rPr>
              <w:t>164</w:t>
            </w:r>
          </w:p>
        </w:tc>
        <w:tc>
          <w:tcPr>
            <w:tcW w:type="dxa" w:w="850"/>
            <w:shd w:val="clear" w:color="auto" w:fill="F2F5F9"/>
          </w:tcPr>
          <w:p>
            <w:r/>
            <w:r>
              <w:rPr>
                <w:sz w:val="15"/>
              </w:rPr>
              <w:t>15,6%</w:t>
            </w:r>
          </w:p>
        </w:tc>
        <w:tc>
          <w:tcPr>
            <w:tcW w:type="dxa" w:w="794"/>
            <w:shd w:val="clear" w:color="auto" w:fill="F2F5F9"/>
          </w:tcPr>
          <w:p>
            <w:r/>
            <w:r>
              <w:rPr>
                <w:sz w:val="15"/>
              </w:rPr>
              <w:t>10,5%</w:t>
            </w:r>
          </w:p>
        </w:tc>
        <w:tc>
          <w:tcPr>
            <w:tcW w:type="dxa" w:w="794"/>
            <w:shd w:val="clear" w:color="auto" w:fill="F2F5F9"/>
          </w:tcPr>
          <w:p>
            <w:r/>
            <w:r>
              <w:rPr>
                <w:sz w:val="15"/>
              </w:rPr>
              <w:t>7,7%</w:t>
            </w:r>
          </w:p>
        </w:tc>
        <w:tc>
          <w:tcPr>
            <w:tcW w:type="dxa" w:w="907"/>
            <w:shd w:val="clear" w:color="auto" w:fill="F2F5F9"/>
          </w:tcPr>
          <w:p>
            <w:r/>
            <w:r>
              <w:rPr>
                <w:sz w:val="15"/>
              </w:rPr>
              <w:t>9,9%</w:t>
            </w:r>
          </w:p>
        </w:tc>
        <w:tc>
          <w:tcPr>
            <w:tcW w:type="dxa" w:w="680"/>
            <w:shd w:val="clear" w:color="auto" w:fill="F2F5F9"/>
          </w:tcPr>
          <w:p>
            <w:r/>
            <w:r>
              <w:rPr>
                <w:sz w:val="15"/>
              </w:rPr>
              <w:t>0,84</w:t>
            </w:r>
          </w:p>
        </w:tc>
        <w:tc>
          <w:tcPr>
            <w:tcW w:type="dxa" w:w="737"/>
            <w:shd w:val="clear" w:color="auto" w:fill="F2F5F9"/>
          </w:tcPr>
          <w:p>
            <w:r/>
            <w:r>
              <w:rPr>
                <w:sz w:val="15"/>
              </w:rPr>
              <w:t>37,3%</w:t>
            </w:r>
          </w:p>
        </w:tc>
        <w:tc>
          <w:tcPr>
            <w:tcW w:type="dxa" w:w="737"/>
            <w:shd w:val="clear" w:color="auto" w:fill="F2F5F9"/>
          </w:tcPr>
          <w:p>
            <w:r/>
            <w:r>
              <w:rPr>
                <w:sz w:val="15"/>
              </w:rPr>
              <w:t>17,2%</w:t>
            </w:r>
          </w:p>
        </w:tc>
      </w:tr>
    </w:tbl>
    <w:p>
      <w:r>
        <w:rPr>
          <w:i/>
          <w:sz w:val="16"/>
        </w:rPr>
        <w:t>(1) Low-Vol devolvía datos vacíos en jul-2018 y dic-2018 y el modelo eliminaba esos meses de las 6 series, incluido el peor mes del período para las acciones. (2) El filtro de Sharpe de Momentum usaba la volatilidad de un mes en el backtest y de 12 meses en la operación. (3) Sensibilidad: contar el costo en compras y ventas. Ninguna corrección mueve los pesos más de 0,7 puntos.</w:t>
      </w:r>
    </w:p>
    <w:p>
      <w:pPr>
        <w:jc w:val="center"/>
      </w:pPr>
      <w:r>
        <w:drawing>
          <wp:inline xmlns:a="http://schemas.openxmlformats.org/drawingml/2006/main" xmlns:pic="http://schemas.openxmlformats.org/drawingml/2006/picture">
            <wp:extent cx="5760000" cy="2400000"/>
            <wp:docPr id="8" name="Picture 8"/>
            <wp:cNvGraphicFramePr>
              <a:graphicFrameLocks noChangeAspect="1"/>
            </wp:cNvGraphicFramePr>
            <a:graphic>
              <a:graphicData uri="http://schemas.openxmlformats.org/drawingml/2006/picture">
                <pic:pic>
                  <pic:nvPicPr>
                    <pic:cNvPr id="0" name="f6_robustez.png"/>
                    <pic:cNvPicPr/>
                  </pic:nvPicPr>
                  <pic:blipFill>
                    <a:blip r:embed="rId16"/>
                    <a:stretch>
                      <a:fillRect/>
                    </a:stretch>
                  </pic:blipFill>
                  <pic:spPr>
                    <a:xfrm>
                      <a:off x="0" y="0"/>
                      <a:ext cx="5760000" cy="2400000"/>
                    </a:xfrm>
                    <a:prstGeom prst="rect"/>
                  </pic:spPr>
                </pic:pic>
              </a:graphicData>
            </a:graphic>
          </wp:inline>
        </w:drawing>
      </w:r>
    </w:p>
    <w:p>
      <w:pPr>
        <w:jc w:val="center"/>
      </w:pPr>
      <w:r>
        <w:rPr>
          <w:i/>
          <w:sz w:val="16"/>
        </w:rPr>
        <w:t>Figura 8. Robustez: Sharpe 2013-2026 de cada variante de parámetros (un cambio a la vez). Fuente: codigo/validacion.py.</w:t>
      </w:r>
    </w:p>
    <w:p>
      <w:r>
        <w:rPr>
          <w:i w:val="0"/>
        </w:rPr>
        <w:t>Robustez. Momentum y Low-Volatility son estables frente a sus parámetros (Sharpe entre 0,65 y 0,79) y la regla vigente no es la mejor variante, lo que es evidencia en contra de sobreajuste. Momentum en commodities sí depende de sus umbrales y de la ampliación del universo de 3 a 5 ETF, que se decidió observando el backtest: se declara como sesgo de selección y explica su menor peso.</w:t>
      </w: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3515"/>
            <w:shd w:val="clear" w:color="auto" w:fill="1F3A5F"/>
          </w:tcPr>
          <w:p>
            <w:r/>
            <w:r>
              <w:rPr>
                <w:b/>
                <w:color w:val="FFFFFF"/>
                <w:sz w:val="17"/>
              </w:rPr>
              <w:t>Universo de commodities</w:t>
            </w:r>
          </w:p>
        </w:tc>
        <w:tc>
          <w:tcPr>
            <w:tcW w:type="dxa" w:w="1474"/>
            <w:shd w:val="clear" w:color="auto" w:fill="1F3A5F"/>
          </w:tcPr>
          <w:p>
            <w:r/>
            <w:r>
              <w:rPr>
                <w:b/>
                <w:color w:val="FFFFFF"/>
                <w:sz w:val="17"/>
              </w:rPr>
              <w:t>Cartera: retorno anual</w:t>
            </w:r>
          </w:p>
        </w:tc>
        <w:tc>
          <w:tcPr>
            <w:tcW w:type="dxa" w:w="1020"/>
            <w:shd w:val="clear" w:color="auto" w:fill="1F3A5F"/>
          </w:tcPr>
          <w:p>
            <w:r/>
            <w:r>
              <w:rPr>
                <w:b/>
                <w:color w:val="FFFFFF"/>
                <w:sz w:val="17"/>
              </w:rPr>
              <w:t>Sharpe</w:t>
            </w:r>
          </w:p>
        </w:tc>
        <w:tc>
          <w:tcPr>
            <w:tcW w:type="dxa" w:w="1304"/>
            <w:shd w:val="clear" w:color="auto" w:fill="1F3A5F"/>
          </w:tcPr>
          <w:p>
            <w:r/>
            <w:r>
              <w:rPr>
                <w:b/>
                <w:color w:val="FFFFFF"/>
                <w:sz w:val="17"/>
              </w:rPr>
              <w:t>Máx. caída</w:t>
            </w:r>
          </w:p>
        </w:tc>
        <w:tc>
          <w:tcPr>
            <w:tcW w:type="dxa" w:w="1757"/>
            <w:shd w:val="clear" w:color="auto" w:fill="1F3A5F"/>
          </w:tcPr>
          <w:p>
            <w:r/>
            <w:r>
              <w:rPr>
                <w:b/>
                <w:color w:val="FFFFFF"/>
                <w:sz w:val="17"/>
              </w:rPr>
              <w:t>P(3 objetivos) histórico</w:t>
            </w:r>
          </w:p>
        </w:tc>
      </w:tr>
      <w:tr>
        <w:tc>
          <w:tcPr>
            <w:tcW w:type="dxa" w:w="3515"/>
          </w:tcPr>
          <w:p>
            <w:r/>
            <w:r>
              <w:rPr>
                <w:sz w:val="17"/>
              </w:rPr>
              <w:t>5 ETF (vigente: GLD, USO, DBA, SLV, CPER)</w:t>
            </w:r>
          </w:p>
        </w:tc>
        <w:tc>
          <w:tcPr>
            <w:tcW w:type="dxa" w:w="1474"/>
          </w:tcPr>
          <w:p>
            <w:r/>
            <w:r>
              <w:rPr>
                <w:sz w:val="17"/>
              </w:rPr>
              <w:t>9,99%</w:t>
            </w:r>
          </w:p>
        </w:tc>
        <w:tc>
          <w:tcPr>
            <w:tcW w:type="dxa" w:w="1020"/>
          </w:tcPr>
          <w:p>
            <w:r/>
            <w:r>
              <w:rPr>
                <w:sz w:val="17"/>
              </w:rPr>
              <w:t>0,850</w:t>
            </w:r>
          </w:p>
        </w:tc>
        <w:tc>
          <w:tcPr>
            <w:tcW w:type="dxa" w:w="1304"/>
          </w:tcPr>
          <w:p>
            <w:r/>
            <w:r>
              <w:rPr>
                <w:sz w:val="17"/>
              </w:rPr>
              <w:t>-20,5%</w:t>
            </w:r>
          </w:p>
        </w:tc>
        <w:tc>
          <w:tcPr>
            <w:tcW w:type="dxa" w:w="1757"/>
          </w:tcPr>
          <w:p>
            <w:r/>
            <w:r>
              <w:rPr>
                <w:sz w:val="17"/>
              </w:rPr>
              <w:t>96,0%</w:t>
            </w:r>
          </w:p>
        </w:tc>
      </w:tr>
      <w:tr>
        <w:tc>
          <w:tcPr>
            <w:tcW w:type="dxa" w:w="3515"/>
            <w:shd w:val="clear" w:color="auto" w:fill="F2F5F9"/>
          </w:tcPr>
          <w:p>
            <w:r/>
            <w:r>
              <w:rPr>
                <w:sz w:val="17"/>
              </w:rPr>
              <w:t>3 ETF (original: GLD, USO, DBA)</w:t>
            </w:r>
          </w:p>
        </w:tc>
        <w:tc>
          <w:tcPr>
            <w:tcW w:type="dxa" w:w="1474"/>
            <w:shd w:val="clear" w:color="auto" w:fill="F2F5F9"/>
          </w:tcPr>
          <w:p>
            <w:r/>
            <w:r>
              <w:rPr>
                <w:sz w:val="17"/>
              </w:rPr>
              <w:t>9,74%</w:t>
            </w:r>
          </w:p>
        </w:tc>
        <w:tc>
          <w:tcPr>
            <w:tcW w:type="dxa" w:w="1020"/>
            <w:shd w:val="clear" w:color="auto" w:fill="F2F5F9"/>
          </w:tcPr>
          <w:p>
            <w:r/>
            <w:r>
              <w:rPr>
                <w:sz w:val="17"/>
              </w:rPr>
              <w:t>0,834</w:t>
            </w:r>
          </w:p>
        </w:tc>
        <w:tc>
          <w:tcPr>
            <w:tcW w:type="dxa" w:w="1304"/>
            <w:shd w:val="clear" w:color="auto" w:fill="F2F5F9"/>
          </w:tcPr>
          <w:p>
            <w:r/>
            <w:r>
              <w:rPr>
                <w:sz w:val="17"/>
              </w:rPr>
              <w:t>-20,4%</w:t>
            </w:r>
          </w:p>
        </w:tc>
        <w:tc>
          <w:tcPr>
            <w:tcW w:type="dxa" w:w="1757"/>
            <w:shd w:val="clear" w:color="auto" w:fill="F2F5F9"/>
          </w:tcPr>
          <w:p>
            <w:r/>
            <w:r>
              <w:rPr>
                <w:sz w:val="17"/>
              </w:rPr>
              <w:t>94,8%</w:t>
            </w:r>
          </w:p>
        </w:tc>
      </w:tr>
    </w:tbl>
    <w:p>
      <w:r>
        <w:rPr>
          <w:i/>
          <w:sz w:val="16"/>
        </w:rPr>
        <w:t>Control del sesgo de selección: con el universo original de 3 ETF la cartera rinde 0,25 puntos menos al año y la probabilidad de cumplir los tres objetivos baja ~1 punto. La conclusión del IPS no depende de esa decisión.</w:t>
      </w:r>
    </w:p>
    <w:tbl>
      <w:tblPr>
        <w:tblStyle w:val="TableGrid"/>
        <w:tblW w:type="auto" w:w="0"/>
        <w:jc w:val="center"/>
        <w:tblLook w:firstColumn="1" w:firstRow="1" w:lastColumn="0" w:lastRow="0" w:noHBand="0" w:noVBand="1" w:val="04A0"/>
      </w:tblPr>
      <w:tblGrid>
        <w:gridCol w:w="3211"/>
        <w:gridCol w:w="3211"/>
        <w:gridCol w:w="3211"/>
      </w:tblGrid>
      <w:tr>
        <w:tc>
          <w:tcPr>
            <w:tcW w:type="dxa" w:w="4195"/>
            <w:shd w:val="clear" w:color="auto" w:fill="1F3A5F"/>
          </w:tcPr>
          <w:p>
            <w:r/>
            <w:r>
              <w:rPr>
                <w:b/>
                <w:color w:val="FFFFFF"/>
                <w:sz w:val="17"/>
              </w:rPr>
              <w:t>Cartera</w:t>
            </w:r>
          </w:p>
        </w:tc>
        <w:tc>
          <w:tcPr>
            <w:tcW w:type="dxa" w:w="2438"/>
            <w:shd w:val="clear" w:color="auto" w:fill="1F3A5F"/>
          </w:tcPr>
          <w:p>
            <w:r/>
            <w:r>
              <w:rPr>
                <w:b/>
                <w:color w:val="FFFFFF"/>
                <w:sz w:val="17"/>
              </w:rPr>
              <w:t>Sharpe 2013-2019 (dentro de muestra)</w:t>
            </w:r>
          </w:p>
        </w:tc>
        <w:tc>
          <w:tcPr>
            <w:tcW w:type="dxa" w:w="2438"/>
            <w:shd w:val="clear" w:color="auto" w:fill="1F3A5F"/>
          </w:tcPr>
          <w:p>
            <w:r/>
            <w:r>
              <w:rPr>
                <w:b/>
                <w:color w:val="FFFFFF"/>
                <w:sz w:val="17"/>
              </w:rPr>
              <w:t>Sharpe 2020-2026 (fuera de muestra)</w:t>
            </w:r>
          </w:p>
        </w:tc>
      </w:tr>
      <w:tr>
        <w:tc>
          <w:tcPr>
            <w:tcW w:type="dxa" w:w="4195"/>
          </w:tcPr>
          <w:p>
            <w:r/>
            <w:r>
              <w:rPr>
                <w:sz w:val="17"/>
              </w:rPr>
              <w:t>Markowitz optimizado con 2013-2019</w:t>
            </w:r>
          </w:p>
        </w:tc>
        <w:tc>
          <w:tcPr>
            <w:tcW w:type="dxa" w:w="2438"/>
          </w:tcPr>
          <w:p>
            <w:r/>
            <w:r>
              <w:rPr>
                <w:sz w:val="17"/>
              </w:rPr>
              <w:t>1,46</w:t>
            </w:r>
          </w:p>
        </w:tc>
        <w:tc>
          <w:tcPr>
            <w:tcW w:type="dxa" w:w="2438"/>
          </w:tcPr>
          <w:p>
            <w:r/>
            <w:r>
              <w:rPr>
                <w:sz w:val="17"/>
              </w:rPr>
              <w:t>0,45</w:t>
            </w:r>
          </w:p>
        </w:tc>
      </w:tr>
      <w:tr>
        <w:tc>
          <w:tcPr>
            <w:tcW w:type="dxa" w:w="4195"/>
            <w:shd w:val="clear" w:color="auto" w:fill="F2F5F9"/>
          </w:tcPr>
          <w:p>
            <w:r/>
            <w:r>
              <w:rPr>
                <w:sz w:val="17"/>
              </w:rPr>
              <w:t>Black-Litterman calibrado con 2013-2019</w:t>
            </w:r>
          </w:p>
        </w:tc>
        <w:tc>
          <w:tcPr>
            <w:tcW w:type="dxa" w:w="2438"/>
            <w:shd w:val="clear" w:color="auto" w:fill="F2F5F9"/>
          </w:tcPr>
          <w:p>
            <w:r/>
            <w:r>
              <w:rPr>
                <w:sz w:val="17"/>
              </w:rPr>
              <w:t>1,38</w:t>
            </w:r>
          </w:p>
        </w:tc>
        <w:tc>
          <w:tcPr>
            <w:tcW w:type="dxa" w:w="2438"/>
            <w:shd w:val="clear" w:color="auto" w:fill="F2F5F9"/>
          </w:tcPr>
          <w:p>
            <w:r/>
            <w:r>
              <w:rPr>
                <w:sz w:val="17"/>
              </w:rPr>
              <w:t>0,65</w:t>
            </w:r>
          </w:p>
        </w:tc>
      </w:tr>
      <w:tr>
        <w:tc>
          <w:tcPr>
            <w:tcW w:type="dxa" w:w="4195"/>
          </w:tcPr>
          <w:p>
            <w:r/>
            <w:r>
              <w:rPr>
                <w:sz w:val="17"/>
              </w:rPr>
              <w:t>Pesos aprobados (BL del modelo)</w:t>
            </w:r>
          </w:p>
        </w:tc>
        <w:tc>
          <w:tcPr>
            <w:tcW w:type="dxa" w:w="2438"/>
          </w:tcPr>
          <w:p>
            <w:r/>
            <w:r>
              <w:rPr>
                <w:sz w:val="17"/>
              </w:rPr>
              <w:t>1,40</w:t>
            </w:r>
          </w:p>
        </w:tc>
        <w:tc>
          <w:tcPr>
            <w:tcW w:type="dxa" w:w="2438"/>
          </w:tcPr>
          <w:p>
            <w:r/>
            <w:r>
              <w:rPr>
                <w:sz w:val="17"/>
              </w:rPr>
              <w:t>0,56</w:t>
            </w:r>
          </w:p>
        </w:tc>
      </w:tr>
      <w:tr>
        <w:tc>
          <w:tcPr>
            <w:tcW w:type="dxa" w:w="4195"/>
            <w:shd w:val="clear" w:color="auto" w:fill="F2F5F9"/>
          </w:tcPr>
          <w:p>
            <w:r/>
            <w:r>
              <w:rPr>
                <w:sz w:val="17"/>
              </w:rPr>
              <w:t>Pesos iguales (1/6)</w:t>
            </w:r>
          </w:p>
        </w:tc>
        <w:tc>
          <w:tcPr>
            <w:tcW w:type="dxa" w:w="2438"/>
            <w:shd w:val="clear" w:color="auto" w:fill="F2F5F9"/>
          </w:tcPr>
          <w:p>
            <w:r/>
            <w:r>
              <w:rPr>
                <w:sz w:val="17"/>
              </w:rPr>
              <w:t>1,24</w:t>
            </w:r>
          </w:p>
        </w:tc>
        <w:tc>
          <w:tcPr>
            <w:tcW w:type="dxa" w:w="2438"/>
            <w:shd w:val="clear" w:color="auto" w:fill="F2F5F9"/>
          </w:tcPr>
          <w:p>
            <w:r/>
            <w:r>
              <w:rPr>
                <w:sz w:val="17"/>
              </w:rPr>
              <w:t>0,58</w:t>
            </w:r>
          </w:p>
        </w:tc>
      </w:tr>
    </w:tbl>
    <w:p>
      <w:r>
        <w:rPr>
          <w:i/>
          <w:sz w:val="16"/>
        </w:rPr>
        <w:t>Walk-forward: los pesos se calibran solo con 2013-2019 y se evalúan en 2020-2026. Markowitz con medias históricas sobreajusta; Black-Litterman calibrado con la misma información mantiene el mejor desempeño fuera de muestra, lo que respalda su uso.</w:t>
      </w:r>
    </w:p>
    <w:p>
      <w:r>
        <w:rPr>
          <w:i w:val="0"/>
        </w:rPr>
        <w:t>Sesgos y limitaciones declarados:</w:t>
      </w:r>
    </w:p>
    <w:p>
      <w:pPr>
        <w:pStyle w:val="ListBullet"/>
      </w:pPr>
      <w:r>
        <w:t>Clasificación sectorial actual (no histórica) en el límite sectorial: sesgo de anticipación leve; afecta sobre todo antes de 2016 y a ~3% de posiciones sin clasificar.</w:t>
      </w:r>
    </w:p>
    <w:p>
      <w:pPr>
        <w:pStyle w:val="ListBullet"/>
      </w:pPr>
      <w:r>
        <w:t>Precio faltante en el mes: se trata como 0% en esa posición.</w:t>
      </w:r>
    </w:p>
    <w:p>
      <w:pPr>
        <w:pStyle w:val="ListBullet"/>
      </w:pPr>
      <w:r>
        <w:t>Commodities: universo ampliado mirando el backtest (sesgo de selección), controlado con el universo original.</w:t>
      </w:r>
    </w:p>
    <w:p>
      <w:pPr>
        <w:pStyle w:val="ListBullet"/>
      </w:pPr>
      <w:r>
        <w:t>Montecarlo: bootstrap independiente (no captura regímenes ni autocorrelación); los supuestos prospectivos son propios, no pronósticos.</w:t>
      </w:r>
    </w:p>
    <w:p>
      <w:r>
        <w:br w:type="page"/>
      </w:r>
    </w:p>
    <w:p>
      <w:pPr>
        <w:pStyle w:val="Heading1"/>
      </w:pPr>
      <w:r>
        <w:t>5. Implementación en StockTrak (al 14-oct-2026)</w:t>
      </w:r>
    </w:p>
    <w:p>
      <w:r>
        <w:rPr>
          <w:i w:val="0"/>
        </w:rPr>
        <w:t>La cartera se implementó el 14-sep-2026 con los pesos aprobados. Decisiones relevantes durante la ejecución:</w:t>
      </w:r>
    </w:p>
    <w:p>
      <w:pPr>
        <w:pStyle w:val="ListBullet"/>
      </w:pPr>
      <w:r>
        <w:rPr>
          <w:b/>
        </w:rPr>
        <w:t xml:space="preserve">Rebalanceo de fin de septiembre: </w:t>
      </w:r>
      <w:r>
        <w:t>Momentum se llevó a peso igual; Moderna se redujo de 12 a 5 acciones, asegurando ~USD 225 de ganancia, con un stop móvil sobre el costo para las restantes.</w:t>
      </w:r>
    </w:p>
    <w:p>
      <w:pPr>
        <w:pStyle w:val="ListBullet"/>
      </w:pPr>
      <w:r>
        <w:rPr>
          <w:b/>
        </w:rPr>
        <w:t xml:space="preserve">Low-Volatility: </w:t>
      </w:r>
      <w:r>
        <w:t>se redujo utilities y real estate de 50% a ~29% del sleeve (salieron Realty Income y Duke Energy), por la sensibilidad a tasas observada; entraron PG, RSG y SNA siguiendo el ranking.</w:t>
      </w:r>
    </w:p>
    <w:p>
      <w:pPr>
        <w:pStyle w:val="ListBullet"/>
      </w:pPr>
      <w:r>
        <w:rPr>
          <w:b/>
        </w:rPr>
        <w:t xml:space="preserve">Petróleo: </w:t>
      </w:r>
      <w:r>
        <w:t>se vendieron MPC, VLO y USO para reducir la exposición conjunta al petróleo; la señal de octubre confirmó la salida de USO.</w:t>
      </w:r>
    </w:p>
    <w:p>
      <w:pPr>
        <w:pStyle w:val="ListBullet"/>
      </w:pPr>
      <w:r>
        <w:rPr>
          <w:b/>
        </w:rPr>
        <w:t xml:space="preserve">Cobertura cambiaria: </w:t>
      </w:r>
      <w:r>
        <w:t>el 28-sep se contrató fuera de StockTrak un forward de venta de USD 104.000 a CLP 963,08 con vencimiento el 30-sep-2027 (sección 3.4).</w:t>
      </w:r>
    </w:p>
    <w:p>
      <w:pPr>
        <w:pStyle w:val="ListBullet"/>
      </w:pPr>
      <w:r>
        <w:rPr>
          <w:b/>
        </w:rPr>
        <w:t xml:space="preserve">Operaciones: </w:t>
      </w:r>
      <w:r>
        <w:t>~50 en las primeras tres semanas, en línea con la regla de 150 en 12 semanas. Las comisiones de la plataforma (~USD 10 por operación, ~USD 1.500 por las 150 exigidas) se tratan como costo operativo de la simulación y no entran en Black-Litterman ni en el Montecarlo.</w:t>
      </w:r>
    </w:p>
    <w:p>
      <w:r>
        <w:rPr>
          <w:i w:val="0"/>
        </w:rPr>
        <w:t>Desviaciones respecto de la regla, documentadas:</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850"/>
            <w:shd w:val="clear" w:color="auto" w:fill="1F3A5F"/>
          </w:tcPr>
          <w:p>
            <w:r/>
            <w:r>
              <w:rPr>
                <w:b/>
                <w:color w:val="FFFFFF"/>
                <w:sz w:val="15"/>
              </w:rPr>
              <w:t>Fecha</w:t>
            </w:r>
          </w:p>
        </w:tc>
        <w:tc>
          <w:tcPr>
            <w:tcW w:type="dxa" w:w="1474"/>
            <w:shd w:val="clear" w:color="auto" w:fill="1F3A5F"/>
          </w:tcPr>
          <w:p>
            <w:r/>
            <w:r>
              <w:rPr>
                <w:b/>
                <w:color w:val="FFFFFF"/>
                <w:sz w:val="15"/>
              </w:rPr>
              <w:t>Sleeve</w:t>
            </w:r>
          </w:p>
        </w:tc>
        <w:tc>
          <w:tcPr>
            <w:tcW w:type="dxa" w:w="3061"/>
            <w:shd w:val="clear" w:color="auto" w:fill="1F3A5F"/>
          </w:tcPr>
          <w:p>
            <w:r/>
            <w:r>
              <w:rPr>
                <w:b/>
                <w:color w:val="FFFFFF"/>
                <w:sz w:val="15"/>
              </w:rPr>
              <w:t>Desviación</w:t>
            </w:r>
          </w:p>
        </w:tc>
        <w:tc>
          <w:tcPr>
            <w:tcW w:type="dxa" w:w="3685"/>
            <w:shd w:val="clear" w:color="auto" w:fill="1F3A5F"/>
          </w:tcPr>
          <w:p>
            <w:r/>
            <w:r>
              <w:rPr>
                <w:b/>
                <w:color w:val="FFFFFF"/>
                <w:sz w:val="15"/>
              </w:rPr>
              <w:t>Motivo / tratamiento</w:t>
            </w:r>
          </w:p>
        </w:tc>
      </w:tr>
      <w:tr>
        <w:tc>
          <w:tcPr>
            <w:tcW w:type="dxa" w:w="850"/>
          </w:tcPr>
          <w:p>
            <w:r/>
            <w:r>
              <w:rPr>
                <w:sz w:val="15"/>
              </w:rPr>
              <w:t>14-sep</w:t>
            </w:r>
          </w:p>
        </w:tc>
        <w:tc>
          <w:tcPr>
            <w:tcW w:type="dxa" w:w="1474"/>
          </w:tcPr>
          <w:p>
            <w:r/>
            <w:r>
              <w:rPr>
                <w:sz w:val="15"/>
              </w:rPr>
              <w:t>Commodities</w:t>
            </w:r>
          </w:p>
        </w:tc>
        <w:tc>
          <w:tcPr>
            <w:tcW w:type="dxa" w:w="3061"/>
          </w:tcPr>
          <w:p>
            <w:r/>
            <w:r>
              <w:rPr>
                <w:sz w:val="15"/>
              </w:rPr>
              <w:t>Compra de USO aunque al 31-ago ningún commodity calificaba</w:t>
            </w:r>
          </w:p>
        </w:tc>
        <w:tc>
          <w:tcPr>
            <w:tcW w:type="dxa" w:w="3685"/>
          </w:tcPr>
          <w:p>
            <w:r/>
            <w:r>
              <w:rPr>
                <w:sz w:val="15"/>
              </w:rPr>
              <w:t>La señal se recalculó con precios del 14-sep (día de la implementación). Se vendió el 2-oct; la señal de octubre confirmó su salida</w:t>
            </w:r>
          </w:p>
        </w:tc>
      </w:tr>
      <w:tr>
        <w:tc>
          <w:tcPr>
            <w:tcW w:type="dxa" w:w="850"/>
            <w:shd w:val="clear" w:color="auto" w:fill="F2F5F9"/>
          </w:tcPr>
          <w:p>
            <w:r/>
            <w:r>
              <w:rPr>
                <w:sz w:val="15"/>
              </w:rPr>
              <w:t>21-sep</w:t>
            </w:r>
          </w:p>
        </w:tc>
        <w:tc>
          <w:tcPr>
            <w:tcW w:type="dxa" w:w="1474"/>
            <w:shd w:val="clear" w:color="auto" w:fill="F2F5F9"/>
          </w:tcPr>
          <w:p>
            <w:r/>
            <w:r>
              <w:rPr>
                <w:sz w:val="15"/>
              </w:rPr>
              <w:t>Low-Volatility</w:t>
            </w:r>
          </w:p>
        </w:tc>
        <w:tc>
          <w:tcPr>
            <w:tcW w:type="dxa" w:w="3061"/>
            <w:shd w:val="clear" w:color="auto" w:fill="F2F5F9"/>
          </w:tcPr>
          <w:p>
            <w:r/>
            <w:r>
              <w:rPr>
                <w:sz w:val="15"/>
              </w:rPr>
              <w:t>Se reemplazaron BRK/B y MCD por AFL y FRT</w:t>
            </w:r>
          </w:p>
        </w:tc>
        <w:tc>
          <w:tcPr>
            <w:tcW w:type="dxa" w:w="3685"/>
            <w:shd w:val="clear" w:color="auto" w:fill="F2F5F9"/>
          </w:tcPr>
          <w:p>
            <w:r/>
            <w:r>
              <w:rPr>
                <w:sz w:val="15"/>
              </w:rPr>
              <w:t>FRT entraba a la selección de la revisión del 18-sep (en lugar de O). AFL y las salidas de BRK/B y MCD no corresponden a la regla: desviación discrecional, se corrige en el rebalanceo de fin de octubre</w:t>
            </w:r>
          </w:p>
        </w:tc>
      </w:tr>
      <w:tr>
        <w:tc>
          <w:tcPr>
            <w:tcW w:type="dxa" w:w="850"/>
          </w:tcPr>
          <w:p>
            <w:r/>
            <w:r>
              <w:rPr>
                <w:sz w:val="15"/>
              </w:rPr>
              <w:t>30-sep</w:t>
            </w:r>
          </w:p>
        </w:tc>
        <w:tc>
          <w:tcPr>
            <w:tcW w:type="dxa" w:w="1474"/>
          </w:tcPr>
          <w:p>
            <w:r/>
            <w:r>
              <w:rPr>
                <w:sz w:val="15"/>
              </w:rPr>
              <w:t>Low-Volatility</w:t>
            </w:r>
          </w:p>
        </w:tc>
        <w:tc>
          <w:tcPr>
            <w:tcW w:type="dxa" w:w="3061"/>
          </w:tcPr>
          <w:p>
            <w:r/>
            <w:r>
              <w:rPr>
                <w:sz w:val="15"/>
              </w:rPr>
              <w:t>Salen O y DUK; entran PG, RSG y SNA; se excluye MCD</w:t>
            </w:r>
          </w:p>
        </w:tc>
        <w:tc>
          <w:tcPr>
            <w:tcW w:type="dxa" w:w="3685"/>
          </w:tcPr>
          <w:p>
            <w:r/>
            <w:r>
              <w:rPr>
                <w:sz w:val="15"/>
              </w:rPr>
              <w:t>Reducir utilities y REITs (sensibles a tasas) de 50% a ~29% del sleeve; MCD excluida por deterioro de tendencia. Reemplazos en orden del ranking</w:t>
            </w:r>
          </w:p>
        </w:tc>
      </w:tr>
      <w:tr>
        <w:tc>
          <w:tcPr>
            <w:tcW w:type="dxa" w:w="850"/>
            <w:shd w:val="clear" w:color="auto" w:fill="F2F5F9"/>
          </w:tcPr>
          <w:p>
            <w:r/>
            <w:r>
              <w:rPr>
                <w:sz w:val="15"/>
              </w:rPr>
              <w:t>2-oct</w:t>
            </w:r>
          </w:p>
        </w:tc>
        <w:tc>
          <w:tcPr>
            <w:tcW w:type="dxa" w:w="1474"/>
            <w:shd w:val="clear" w:color="auto" w:fill="F2F5F9"/>
          </w:tcPr>
          <w:p>
            <w:r/>
            <w:r>
              <w:rPr>
                <w:sz w:val="15"/>
              </w:rPr>
              <w:t>Momentum / Commodities</w:t>
            </w:r>
          </w:p>
        </w:tc>
        <w:tc>
          <w:tcPr>
            <w:tcW w:type="dxa" w:w="3061"/>
            <w:shd w:val="clear" w:color="auto" w:fill="F2F5F9"/>
          </w:tcPr>
          <w:p>
            <w:r/>
            <w:r>
              <w:rPr>
                <w:sz w:val="15"/>
              </w:rPr>
              <w:t>Venta de MPC, VLO y USO</w:t>
            </w:r>
          </w:p>
        </w:tc>
        <w:tc>
          <w:tcPr>
            <w:tcW w:type="dxa" w:w="3685"/>
            <w:shd w:val="clear" w:color="auto" w:fill="F2F5F9"/>
          </w:tcPr>
          <w:p>
            <w:r/>
            <w:r>
              <w:rPr>
                <w:sz w:val="15"/>
              </w:rPr>
              <w:t>Reducir la exposición conjunta al petróleo; MPC y VLO seguían en la señal (decisión de riesgo)</w:t>
            </w:r>
          </w:p>
        </w:tc>
      </w:tr>
      <w:tr>
        <w:tc>
          <w:tcPr>
            <w:tcW w:type="dxa" w:w="850"/>
          </w:tcPr>
          <w:p>
            <w:r/>
            <w:r>
              <w:rPr>
                <w:sz w:val="15"/>
              </w:rPr>
              <w:t>6-oct</w:t>
            </w:r>
          </w:p>
        </w:tc>
        <w:tc>
          <w:tcPr>
            <w:tcW w:type="dxa" w:w="1474"/>
          </w:tcPr>
          <w:p>
            <w:r/>
            <w:r>
              <w:rPr>
                <w:sz w:val="15"/>
              </w:rPr>
              <w:t>Momentum</w:t>
            </w:r>
          </w:p>
        </w:tc>
        <w:tc>
          <w:tcPr>
            <w:tcW w:type="dxa" w:w="3061"/>
          </w:tcPr>
          <w:p>
            <w:r/>
            <w:r>
              <w:rPr>
                <w:sz w:val="15"/>
              </w:rPr>
              <w:t>Se pasa de 10 a 7 acciones (máximo 2 por sector)</w:t>
            </w:r>
          </w:p>
        </w:tc>
        <w:tc>
          <w:tcPr>
            <w:tcW w:type="dxa" w:w="3685"/>
          </w:tcPr>
          <w:p>
            <w:r/>
            <w:r>
              <w:rPr>
                <w:sz w:val="15"/>
              </w:rPr>
              <w:t>Con ~USD 10.000 en el sleeve, las comisiones costaban ~2,4 puntos; con 7 acciones el backtest rinde 17,4% vs 16,2%. Única regla modificada: desde aquí no se cambian reglas, para validar la estrategia estudiada</w:t>
            </w:r>
          </w:p>
        </w:tc>
      </w:tr>
      <w:tr>
        <w:tc>
          <w:tcPr>
            <w:tcW w:type="dxa" w:w="850"/>
            <w:shd w:val="clear" w:color="auto" w:fill="F2F5F9"/>
          </w:tcPr>
          <w:p>
            <w:r/>
            <w:r>
              <w:rPr>
                <w:sz w:val="15"/>
              </w:rPr>
              <w:t>6-oct</w:t>
            </w:r>
          </w:p>
        </w:tc>
        <w:tc>
          <w:tcPr>
            <w:tcW w:type="dxa" w:w="1474"/>
            <w:shd w:val="clear" w:color="auto" w:fill="F2F5F9"/>
          </w:tcPr>
          <w:p>
            <w:r/>
            <w:r>
              <w:rPr>
                <w:sz w:val="15"/>
              </w:rPr>
              <w:t>Momentum</w:t>
            </w:r>
          </w:p>
        </w:tc>
        <w:tc>
          <w:tcPr>
            <w:tcW w:type="dxa" w:w="3061"/>
            <w:shd w:val="clear" w:color="auto" w:fill="F2F5F9"/>
          </w:tcPr>
          <w:p>
            <w:r/>
            <w:r>
              <w:rPr>
                <w:sz w:val="15"/>
              </w:rPr>
              <w:t>HUM reemplaza a CRL</w:t>
            </w:r>
          </w:p>
        </w:tc>
        <w:tc>
          <w:tcPr>
            <w:tcW w:type="dxa" w:w="3685"/>
            <w:shd w:val="clear" w:color="auto" w:fill="F2F5F9"/>
          </w:tcPr>
          <w:p>
            <w:r/>
            <w:r>
              <w:rPr>
                <w:sz w:val="15"/>
              </w:rPr>
              <w:t>CRL tuvo una reversión intradía de 11%; la regla de ejecución indica postergar la compra, no reemplazarla. Desviación discrecional</w:t>
            </w:r>
          </w:p>
        </w:tc>
      </w:tr>
      <w:tr>
        <w:tc>
          <w:tcPr>
            <w:tcW w:type="dxa" w:w="850"/>
          </w:tcPr>
          <w:p>
            <w:r/>
            <w:r>
              <w:rPr>
                <w:sz w:val="15"/>
              </w:rPr>
              <w:t>8-oct</w:t>
            </w:r>
          </w:p>
        </w:tc>
        <w:tc>
          <w:tcPr>
            <w:tcW w:type="dxa" w:w="1474"/>
          </w:tcPr>
          <w:p>
            <w:r/>
            <w:r>
              <w:rPr>
                <w:sz w:val="15"/>
              </w:rPr>
              <w:t>Commodities</w:t>
            </w:r>
          </w:p>
        </w:tc>
        <w:tc>
          <w:tcPr>
            <w:tcW w:type="dxa" w:w="3061"/>
          </w:tcPr>
          <w:p>
            <w:r/>
            <w:r>
              <w:rPr>
                <w:sz w:val="15"/>
              </w:rPr>
              <w:t>Compra de 76 DJP (USD 3.982) con la caja del sleeve</w:t>
            </w:r>
          </w:p>
        </w:tc>
        <w:tc>
          <w:tcPr>
            <w:tcW w:type="dxa" w:w="3685"/>
          </w:tcPr>
          <w:p>
            <w:r/>
            <w:r>
              <w:rPr>
                <w:sz w:val="15"/>
              </w:rPr>
              <w:t>[Completar motivo] DJP es el benchmark del sleeve, no parte de su universo: equivale a invertir pasivamente la caja. Desviación discrecional</w:t>
            </w:r>
          </w:p>
        </w:tc>
      </w:tr>
      <w:tr>
        <w:tc>
          <w:tcPr>
            <w:tcW w:type="dxa" w:w="850"/>
            <w:shd w:val="clear" w:color="auto" w:fill="F2F5F9"/>
          </w:tcPr>
          <w:p>
            <w:r/>
            <w:r>
              <w:rPr>
                <w:sz w:val="15"/>
              </w:rPr>
              <w:t>8 al 14-oct</w:t>
            </w:r>
          </w:p>
        </w:tc>
        <w:tc>
          <w:tcPr>
            <w:tcW w:type="dxa" w:w="1474"/>
            <w:shd w:val="clear" w:color="auto" w:fill="F2F5F9"/>
          </w:tcPr>
          <w:p>
            <w:r/>
            <w:r>
              <w:rPr>
                <w:sz w:val="15"/>
              </w:rPr>
              <w:t>Momentum</w:t>
            </w:r>
          </w:p>
        </w:tc>
        <w:tc>
          <w:tcPr>
            <w:tcW w:type="dxa" w:w="3061"/>
            <w:shd w:val="clear" w:color="auto" w:fill="F2F5F9"/>
          </w:tcPr>
          <w:p>
            <w:r/>
            <w:r>
              <w:rPr>
                <w:sz w:val="15"/>
              </w:rPr>
              <w:t>Compra de AMD y MU; venta de MU (14-oct) y de CPAY (13-oct)</w:t>
            </w:r>
          </w:p>
        </w:tc>
        <w:tc>
          <w:tcPr>
            <w:tcW w:type="dxa" w:w="3685"/>
            <w:shd w:val="clear" w:color="auto" w:fill="F2F5F9"/>
          </w:tcPr>
          <w:p>
            <w:r/>
            <w:r>
              <w:rPr>
                <w:sz w:val="15"/>
              </w:rPr>
              <w:t>[Completar motivo] CPAY estaba fuera del top 25 (regla de permanencia)</w:t>
            </w:r>
          </w:p>
        </w:tc>
      </w:tr>
      <w:tr>
        <w:tc>
          <w:tcPr>
            <w:tcW w:type="dxa" w:w="850"/>
          </w:tcPr>
          <w:p>
            <w:r/>
            <w:r>
              <w:rPr>
                <w:sz w:val="15"/>
              </w:rPr>
              <w:t>13-oct</w:t>
            </w:r>
          </w:p>
        </w:tc>
        <w:tc>
          <w:tcPr>
            <w:tcW w:type="dxa" w:w="1474"/>
          </w:tcPr>
          <w:p>
            <w:r/>
            <w:r>
              <w:rPr>
                <w:sz w:val="15"/>
              </w:rPr>
              <w:t>Low-Volatility</w:t>
            </w:r>
          </w:p>
        </w:tc>
        <w:tc>
          <w:tcPr>
            <w:tcW w:type="dxa" w:w="3061"/>
          </w:tcPr>
          <w:p>
            <w:r/>
            <w:r>
              <w:rPr>
                <w:sz w:val="15"/>
              </w:rPr>
              <w:t>Venta de AFL y PG sin reemplazo (quedan 9 acciones)</w:t>
            </w:r>
          </w:p>
        </w:tc>
        <w:tc>
          <w:tcPr>
            <w:tcW w:type="dxa" w:w="3685"/>
          </w:tcPr>
          <w:p>
            <w:r/>
            <w:r>
              <w:rPr>
                <w:sz w:val="15"/>
              </w:rPr>
              <w:t>[Completar motivo] AFL era desviación desde el 21-sep; la regla pide 10 acciones a peso igual</w:t>
            </w:r>
          </w:p>
        </w:tc>
      </w:tr>
    </w:tbl>
    <w:p/>
    <w:p>
      <w:r>
        <w:rPr>
          <w:i w:val="0"/>
        </w:rPr>
        <w:t>Momentum es el sleeve con mejor desempeño en vivo (≈ +3,7% desde el 14-sep frente a ≈ +2,4% de QMOM). La cartera total se ve afectada por la subida de la tasa a 10 años a 5,3%, que golpea al núcleo de renta fija larga (~30% de la cartera). Es el principal riesgo de corto plazo y está identificado en la sección 6.</w:t>
      </w:r>
    </w:p>
    <w:tbl>
      <w:tblPr>
        <w:tblStyle w:val="TableGrid"/>
        <w:tblW w:type="auto" w:w="0"/>
        <w:jc w:val="center"/>
        <w:tblLook w:firstColumn="1" w:firstRow="1" w:lastColumn="0" w:lastRow="0" w:noHBand="0" w:noVBand="1" w:val="04A0"/>
      </w:tblPr>
      <w:tblGrid>
        <w:gridCol w:w="1376"/>
        <w:gridCol w:w="1376"/>
        <w:gridCol w:w="1376"/>
        <w:gridCol w:w="1376"/>
        <w:gridCol w:w="1376"/>
        <w:gridCol w:w="1376"/>
        <w:gridCol w:w="1376"/>
      </w:tblGrid>
      <w:tr>
        <w:tc>
          <w:tcPr>
            <w:tcW w:type="dxa" w:w="1928"/>
            <w:shd w:val="clear" w:color="auto" w:fill="1F3A5F"/>
          </w:tcPr>
          <w:p>
            <w:r/>
            <w:r>
              <w:rPr>
                <w:b/>
                <w:color w:val="FFFFFF"/>
                <w:sz w:val="15"/>
              </w:rPr>
              <w:t>Clase</w:t>
            </w:r>
          </w:p>
        </w:tc>
        <w:tc>
          <w:tcPr>
            <w:tcW w:type="dxa" w:w="1361"/>
            <w:shd w:val="clear" w:color="auto" w:fill="1F3A5F"/>
          </w:tcPr>
          <w:p>
            <w:r/>
            <w:r>
              <w:rPr>
                <w:b/>
                <w:color w:val="FFFFFF"/>
                <w:sz w:val="15"/>
              </w:rPr>
              <w:t>Invertido el 14-sep</w:t>
            </w:r>
          </w:p>
        </w:tc>
        <w:tc>
          <w:tcPr>
            <w:tcW w:type="dxa" w:w="1134"/>
            <w:shd w:val="clear" w:color="auto" w:fill="1F3A5F"/>
          </w:tcPr>
          <w:p>
            <w:r/>
            <w:r>
              <w:rPr>
                <w:b/>
                <w:color w:val="FFFFFF"/>
                <w:sz w:val="15"/>
              </w:rPr>
              <w:t>Resultado (USD)</w:t>
            </w:r>
          </w:p>
        </w:tc>
        <w:tc>
          <w:tcPr>
            <w:tcW w:type="dxa" w:w="1020"/>
            <w:shd w:val="clear" w:color="auto" w:fill="1F3A5F"/>
          </w:tcPr>
          <w:p>
            <w:r/>
            <w:r>
              <w:rPr>
                <w:b/>
                <w:color w:val="FFFFFF"/>
                <w:sz w:val="15"/>
              </w:rPr>
              <w:t>Retorno Nexum</w:t>
            </w:r>
          </w:p>
        </w:tc>
        <w:tc>
          <w:tcPr>
            <w:tcW w:type="dxa" w:w="1814"/>
            <w:shd w:val="clear" w:color="auto" w:fill="1F3A5F"/>
          </w:tcPr>
          <w:p>
            <w:r/>
            <w:r>
              <w:rPr>
                <w:b/>
                <w:color w:val="FFFFFF"/>
                <w:sz w:val="15"/>
              </w:rPr>
              <w:t>Benchmark</w:t>
            </w:r>
          </w:p>
        </w:tc>
        <w:tc>
          <w:tcPr>
            <w:tcW w:type="dxa" w:w="1020"/>
            <w:shd w:val="clear" w:color="auto" w:fill="1F3A5F"/>
          </w:tcPr>
          <w:p>
            <w:r/>
            <w:r>
              <w:rPr>
                <w:b/>
                <w:color w:val="FFFFFF"/>
                <w:sz w:val="15"/>
              </w:rPr>
              <w:t>Retorno benchmark</w:t>
            </w:r>
          </w:p>
        </w:tc>
        <w:tc>
          <w:tcPr>
            <w:tcW w:type="dxa" w:w="907"/>
            <w:shd w:val="clear" w:color="auto" w:fill="1F3A5F"/>
          </w:tcPr>
          <w:p>
            <w:r/>
            <w:r>
              <w:rPr>
                <w:b/>
                <w:color w:val="FFFFFF"/>
                <w:sz w:val="15"/>
              </w:rPr>
              <w:t>Diferencia</w:t>
            </w:r>
          </w:p>
        </w:tc>
      </w:tr>
      <w:tr>
        <w:tc>
          <w:tcPr>
            <w:tcW w:type="dxa" w:w="1928"/>
          </w:tcPr>
          <w:p>
            <w:r/>
            <w:r>
              <w:rPr>
                <w:sz w:val="15"/>
              </w:rPr>
              <w:t>Renta variable EE.UU.</w:t>
            </w:r>
          </w:p>
        </w:tc>
        <w:tc>
          <w:tcPr>
            <w:tcW w:type="dxa" w:w="1361"/>
          </w:tcPr>
          <w:p>
            <w:r/>
            <w:r>
              <w:rPr>
                <w:sz w:val="15"/>
              </w:rPr>
              <w:t>USD 86.857</w:t>
            </w:r>
          </w:p>
        </w:tc>
        <w:tc>
          <w:tcPr>
            <w:tcW w:type="dxa" w:w="1134"/>
          </w:tcPr>
          <w:p>
            <w:r/>
            <w:r>
              <w:rPr>
                <w:sz w:val="15"/>
              </w:rPr>
              <w:t>-11</w:t>
            </w:r>
          </w:p>
        </w:tc>
        <w:tc>
          <w:tcPr>
            <w:tcW w:type="dxa" w:w="1020"/>
          </w:tcPr>
          <w:p>
            <w:r/>
            <w:r>
              <w:rPr>
                <w:sz w:val="15"/>
              </w:rPr>
              <w:t>-0,01%</w:t>
            </w:r>
          </w:p>
        </w:tc>
        <w:tc>
          <w:tcPr>
            <w:tcW w:type="dxa" w:w="1814"/>
          </w:tcPr>
          <w:p>
            <w:r/>
            <w:r>
              <w:rPr>
                <w:sz w:val="15"/>
              </w:rPr>
              <w:t>S&amp;P 500 (SPY)</w:t>
            </w:r>
          </w:p>
        </w:tc>
        <w:tc>
          <w:tcPr>
            <w:tcW w:type="dxa" w:w="1020"/>
          </w:tcPr>
          <w:p>
            <w:r/>
            <w:r>
              <w:rPr>
                <w:sz w:val="15"/>
              </w:rPr>
              <w:t>1,16%</w:t>
            </w:r>
          </w:p>
        </w:tc>
        <w:tc>
          <w:tcPr>
            <w:tcW w:type="dxa" w:w="907"/>
          </w:tcPr>
          <w:p>
            <w:r/>
            <w:r>
              <w:rPr>
                <w:sz w:val="15"/>
              </w:rPr>
              <w:t>-1,18 pp</w:t>
            </w:r>
          </w:p>
        </w:tc>
      </w:tr>
      <w:tr>
        <w:tc>
          <w:tcPr>
            <w:tcW w:type="dxa" w:w="1928"/>
            <w:shd w:val="clear" w:color="auto" w:fill="F2F5F9"/>
          </w:tcPr>
          <w:p>
            <w:r/>
            <w:r>
              <w:rPr>
                <w:sz w:val="15"/>
              </w:rPr>
              <w:t>Renta fija larga EE.UU.</w:t>
            </w:r>
          </w:p>
        </w:tc>
        <w:tc>
          <w:tcPr>
            <w:tcW w:type="dxa" w:w="1361"/>
            <w:shd w:val="clear" w:color="auto" w:fill="F2F5F9"/>
          </w:tcPr>
          <w:p>
            <w:r/>
            <w:r>
              <w:rPr>
                <w:sz w:val="15"/>
              </w:rPr>
              <w:t>USD 45.179</w:t>
            </w:r>
          </w:p>
        </w:tc>
        <w:tc>
          <w:tcPr>
            <w:tcW w:type="dxa" w:w="1134"/>
            <w:shd w:val="clear" w:color="auto" w:fill="F2F5F9"/>
          </w:tcPr>
          <w:p>
            <w:r/>
            <w:r>
              <w:rPr>
                <w:sz w:val="15"/>
              </w:rPr>
              <w:t>-1.021</w:t>
            </w:r>
          </w:p>
        </w:tc>
        <w:tc>
          <w:tcPr>
            <w:tcW w:type="dxa" w:w="1020"/>
            <w:shd w:val="clear" w:color="auto" w:fill="F2F5F9"/>
          </w:tcPr>
          <w:p>
            <w:r/>
            <w:r>
              <w:rPr>
                <w:sz w:val="15"/>
              </w:rPr>
              <w:t>-2,26%</w:t>
            </w:r>
          </w:p>
        </w:tc>
        <w:tc>
          <w:tcPr>
            <w:tcW w:type="dxa" w:w="1814"/>
            <w:shd w:val="clear" w:color="auto" w:fill="F2F5F9"/>
          </w:tcPr>
          <w:p>
            <w:r/>
            <w:r>
              <w:rPr>
                <w:sz w:val="15"/>
              </w:rPr>
              <w:t>Bloomberg U.S. Long Gov/Credit (proxy TLH/VCLT 50/50)</w:t>
            </w:r>
          </w:p>
        </w:tc>
        <w:tc>
          <w:tcPr>
            <w:tcW w:type="dxa" w:w="1020"/>
            <w:shd w:val="clear" w:color="auto" w:fill="F2F5F9"/>
          </w:tcPr>
          <w:p>
            <w:r/>
            <w:r>
              <w:rPr>
                <w:sz w:val="15"/>
              </w:rPr>
              <w:t>-2,21%</w:t>
            </w:r>
          </w:p>
        </w:tc>
        <w:tc>
          <w:tcPr>
            <w:tcW w:type="dxa" w:w="907"/>
            <w:shd w:val="clear" w:color="auto" w:fill="F2F5F9"/>
          </w:tcPr>
          <w:p>
            <w:r/>
            <w:r>
              <w:rPr>
                <w:sz w:val="15"/>
              </w:rPr>
              <w:t>-0,05 pp</w:t>
            </w:r>
          </w:p>
        </w:tc>
      </w:tr>
      <w:tr>
        <w:tc>
          <w:tcPr>
            <w:tcW w:type="dxa" w:w="1928"/>
          </w:tcPr>
          <w:p>
            <w:r/>
            <w:r>
              <w:rPr>
                <w:sz w:val="15"/>
              </w:rPr>
              <w:t>Commodities</w:t>
            </w:r>
          </w:p>
        </w:tc>
        <w:tc>
          <w:tcPr>
            <w:tcW w:type="dxa" w:w="1361"/>
          </w:tcPr>
          <w:p>
            <w:r/>
            <w:r>
              <w:rPr>
                <w:sz w:val="15"/>
              </w:rPr>
              <w:t>USD 8.706</w:t>
            </w:r>
          </w:p>
        </w:tc>
        <w:tc>
          <w:tcPr>
            <w:tcW w:type="dxa" w:w="1134"/>
          </w:tcPr>
          <w:p>
            <w:r/>
            <w:r>
              <w:rPr>
                <w:sz w:val="15"/>
              </w:rPr>
              <w:t>-713</w:t>
            </w:r>
          </w:p>
        </w:tc>
        <w:tc>
          <w:tcPr>
            <w:tcW w:type="dxa" w:w="1020"/>
          </w:tcPr>
          <w:p>
            <w:r/>
            <w:r>
              <w:rPr>
                <w:sz w:val="15"/>
              </w:rPr>
              <w:t>-8,19%</w:t>
            </w:r>
          </w:p>
        </w:tc>
        <w:tc>
          <w:tcPr>
            <w:tcW w:type="dxa" w:w="1814"/>
          </w:tcPr>
          <w:p>
            <w:r/>
            <w:r>
              <w:rPr>
                <w:sz w:val="15"/>
              </w:rPr>
              <w:t>Bloomberg Commodity Index TR (DJP)</w:t>
            </w:r>
          </w:p>
        </w:tc>
        <w:tc>
          <w:tcPr>
            <w:tcW w:type="dxa" w:w="1020"/>
          </w:tcPr>
          <w:p>
            <w:r/>
            <w:r>
              <w:rPr>
                <w:sz w:val="15"/>
              </w:rPr>
              <w:t>-0,59%</w:t>
            </w:r>
          </w:p>
        </w:tc>
        <w:tc>
          <w:tcPr>
            <w:tcW w:type="dxa" w:w="907"/>
          </w:tcPr>
          <w:p>
            <w:r/>
            <w:r>
              <w:rPr>
                <w:sz w:val="15"/>
              </w:rPr>
              <w:t>-7,61 pp</w:t>
            </w:r>
          </w:p>
        </w:tc>
      </w:tr>
      <w:tr>
        <w:tc>
          <w:tcPr>
            <w:tcW w:type="dxa" w:w="1928"/>
            <w:shd w:val="clear" w:color="auto" w:fill="F2F5F9"/>
          </w:tcPr>
          <w:p>
            <w:r/>
            <w:r>
              <w:rPr>
                <w:sz w:val="15"/>
              </w:rPr>
              <w:t>Liquidez (reserva)</w:t>
            </w:r>
          </w:p>
        </w:tc>
        <w:tc>
          <w:tcPr>
            <w:tcW w:type="dxa" w:w="1361"/>
            <w:shd w:val="clear" w:color="auto" w:fill="F2F5F9"/>
          </w:tcPr>
          <w:p>
            <w:r/>
            <w:r>
              <w:rPr>
                <w:sz w:val="15"/>
              </w:rPr>
              <w:t>USD 6.937</w:t>
            </w:r>
          </w:p>
        </w:tc>
        <w:tc>
          <w:tcPr>
            <w:tcW w:type="dxa" w:w="1134"/>
            <w:shd w:val="clear" w:color="auto" w:fill="F2F5F9"/>
          </w:tcPr>
          <w:p>
            <w:r/>
            <w:r>
              <w:rPr>
                <w:sz w:val="15"/>
              </w:rPr>
              <w:t>11</w:t>
            </w:r>
          </w:p>
        </w:tc>
        <w:tc>
          <w:tcPr>
            <w:tcW w:type="dxa" w:w="1020"/>
            <w:shd w:val="clear" w:color="auto" w:fill="F2F5F9"/>
          </w:tcPr>
          <w:p>
            <w:r/>
            <w:r>
              <w:rPr>
                <w:sz w:val="15"/>
              </w:rPr>
              <w:t>0,16%</w:t>
            </w:r>
          </w:p>
        </w:tc>
        <w:tc>
          <w:tcPr>
            <w:tcW w:type="dxa" w:w="1814"/>
            <w:shd w:val="clear" w:color="auto" w:fill="F2F5F9"/>
          </w:tcPr>
          <w:p>
            <w:r/>
            <w:r>
              <w:rPr>
                <w:sz w:val="15"/>
              </w:rPr>
              <w:t>T-Bills 0-3 meses (SGOV)</w:t>
            </w:r>
          </w:p>
        </w:tc>
        <w:tc>
          <w:tcPr>
            <w:tcW w:type="dxa" w:w="1020"/>
            <w:shd w:val="clear" w:color="auto" w:fill="F2F5F9"/>
          </w:tcPr>
          <w:p>
            <w:r/>
            <w:r>
              <w:rPr>
                <w:sz w:val="15"/>
              </w:rPr>
              <w:t>0,30%</w:t>
            </w:r>
          </w:p>
        </w:tc>
        <w:tc>
          <w:tcPr>
            <w:tcW w:type="dxa" w:w="907"/>
            <w:shd w:val="clear" w:color="auto" w:fill="F2F5F9"/>
          </w:tcPr>
          <w:p>
            <w:r/>
            <w:r>
              <w:rPr>
                <w:sz w:val="15"/>
              </w:rPr>
              <w:t>-0,14 pp</w:t>
            </w:r>
          </w:p>
        </w:tc>
      </w:tr>
    </w:tbl>
    <w:p>
      <w:r>
        <w:rPr>
          <w:i/>
          <w:sz w:val="16"/>
        </w:rPr>
        <w:t>Desde el 14-sep hasta el 14-oct (exports de StockTrak; benchmarks con el último precio del export). El resultado incluye dividendos y comisiones de USD 10; los benchmarks parten de nuestro precio de entrada (o del cierre del 14-sep) con dividendos reinvertidos. La suma de los resultados cuadra con la pérdida total de la cuenta. Fuente: codigo/analisis_adicional.py.</w:t>
      </w:r>
    </w:p>
    <w:p>
      <w:r>
        <w:rPr>
          <w:i w:val="0"/>
        </w:rPr>
        <w:t>Por clase de activo: la renta fija replica su benchmark, como corresponde a un núcleo pasivo; la renta variable queda 1,2 puntos bajo el S&amp;P 500, en parte por las comisiones (54 operaciones, USD 540) y en parte por el sesgo defensivo de Low-Volatility en un mercado al alza; commodities queda 7,6 puntos bajo su benchmark por la pérdida en USO, ya liquidado.</w:t>
      </w:r>
    </w:p>
    <w:p>
      <w:pPr>
        <w:pStyle w:val="Heading3"/>
      </w:pPr>
      <w:r>
        <w:t>Por qué la cartera no rindió como esperábamos</w:t>
      </w:r>
    </w:p>
    <w:p>
      <w:r>
        <w:rPr>
          <w:i w:val="0"/>
        </w:rPr>
        <w:t>Entre el 14-sep y el 14-oct la cartera perdió USD 1.734 (-1,16% sobre el capital), mientras el S&amp;P 500 subió 1,2%. La pérdida tiene tres explicaciones, todas medibles:</w:t>
      </w:r>
    </w:p>
    <w:tbl>
      <w:tblPr>
        <w:tblStyle w:val="TableGrid"/>
        <w:tblW w:type="auto" w:w="0"/>
        <w:jc w:val="center"/>
        <w:tblLook w:firstColumn="1" w:firstRow="1" w:lastColumn="0" w:lastRow="0" w:noHBand="0" w:noVBand="1" w:val="04A0"/>
      </w:tblPr>
      <w:tblGrid>
        <w:gridCol w:w="3211"/>
        <w:gridCol w:w="3211"/>
        <w:gridCol w:w="3211"/>
      </w:tblGrid>
      <w:tr>
        <w:tc>
          <w:tcPr>
            <w:tcW w:type="dxa" w:w="2381"/>
            <w:shd w:val="clear" w:color="auto" w:fill="1F3A5F"/>
          </w:tcPr>
          <w:p>
            <w:r/>
            <w:r>
              <w:rPr>
                <w:b/>
                <w:color w:val="FFFFFF"/>
                <w:sz w:val="16"/>
              </w:rPr>
              <w:t>Bloque</w:t>
            </w:r>
          </w:p>
        </w:tc>
        <w:tc>
          <w:tcPr>
            <w:tcW w:type="dxa" w:w="1361"/>
            <w:shd w:val="clear" w:color="auto" w:fill="1F3A5F"/>
          </w:tcPr>
          <w:p>
            <w:r/>
            <w:r>
              <w:rPr>
                <w:b/>
                <w:color w:val="FFFFFF"/>
                <w:sz w:val="16"/>
              </w:rPr>
              <w:t>Resultado (USD)</w:t>
            </w:r>
          </w:p>
        </w:tc>
        <w:tc>
          <w:tcPr>
            <w:tcW w:type="dxa" w:w="5329"/>
            <w:shd w:val="clear" w:color="auto" w:fill="1F3A5F"/>
          </w:tcPr>
          <w:p>
            <w:r/>
            <w:r>
              <w:rPr>
                <w:b/>
                <w:color w:val="FFFFFF"/>
                <w:sz w:val="16"/>
              </w:rPr>
              <w:t>Qué pasó</w:t>
            </w:r>
          </w:p>
        </w:tc>
      </w:tr>
      <w:tr>
        <w:tc>
          <w:tcPr>
            <w:tcW w:type="dxa" w:w="2381"/>
          </w:tcPr>
          <w:p>
            <w:r/>
            <w:r>
              <w:rPr>
                <w:sz w:val="16"/>
              </w:rPr>
              <w:t>Bonos largos (TLH + VCLT, ~31%)</w:t>
            </w:r>
          </w:p>
        </w:tc>
        <w:tc>
          <w:tcPr>
            <w:tcW w:type="dxa" w:w="1361"/>
          </w:tcPr>
          <w:p>
            <w:r/>
            <w:r>
              <w:rPr>
                <w:sz w:val="16"/>
              </w:rPr>
              <w:t>-1.021</w:t>
            </w:r>
          </w:p>
        </w:tc>
        <w:tc>
          <w:tcPr>
            <w:tcW w:type="dxa" w:w="5329"/>
          </w:tcPr>
          <w:p>
            <w:r/>
            <w:r>
              <w:rPr>
                <w:sz w:val="16"/>
              </w:rPr>
              <w:t>La tasa a 10 años subió hasta 5,3%, su nivel más alto desde 2002, y los bonos cayeron 2,3%, lo mismo que su índice. No fue un error de ejecución: es el riesgo de duración que asumimos</w:t>
            </w:r>
          </w:p>
        </w:tc>
      </w:tr>
      <w:tr>
        <w:tc>
          <w:tcPr>
            <w:tcW w:type="dxa" w:w="2381"/>
            <w:shd w:val="clear" w:color="auto" w:fill="F2F5F9"/>
          </w:tcPr>
          <w:p>
            <w:r/>
            <w:r>
              <w:rPr>
                <w:sz w:val="16"/>
              </w:rPr>
              <w:t>Commodities (~6%)</w:t>
            </w:r>
          </w:p>
        </w:tc>
        <w:tc>
          <w:tcPr>
            <w:tcW w:type="dxa" w:w="1361"/>
            <w:shd w:val="clear" w:color="auto" w:fill="F2F5F9"/>
          </w:tcPr>
          <w:p>
            <w:r/>
            <w:r>
              <w:rPr>
                <w:sz w:val="16"/>
              </w:rPr>
              <w:t>-713</w:t>
            </w:r>
          </w:p>
        </w:tc>
        <w:tc>
          <w:tcPr>
            <w:tcW w:type="dxa" w:w="5329"/>
            <w:shd w:val="clear" w:color="auto" w:fill="F2F5F9"/>
          </w:tcPr>
          <w:p>
            <w:r/>
            <w:r>
              <w:rPr>
                <w:sz w:val="16"/>
              </w:rPr>
              <w:t>USO cayó con el petróleo y se vendió el 2-oct; el sleeve perdió 8,2% frente a 0,6% de DJP</w:t>
            </w:r>
          </w:p>
        </w:tc>
      </w:tr>
      <w:tr>
        <w:tc>
          <w:tcPr>
            <w:tcW w:type="dxa" w:w="2381"/>
          </w:tcPr>
          <w:p>
            <w:r/>
            <w:r>
              <w:rPr>
                <w:sz w:val="16"/>
              </w:rPr>
              <w:t>Acciones (~62%)</w:t>
            </w:r>
          </w:p>
        </w:tc>
        <w:tc>
          <w:tcPr>
            <w:tcW w:type="dxa" w:w="1361"/>
          </w:tcPr>
          <w:p>
            <w:r/>
            <w:r>
              <w:rPr>
                <w:sz w:val="16"/>
              </w:rPr>
              <w:t>-11</w:t>
            </w:r>
          </w:p>
        </w:tc>
        <w:tc>
          <w:tcPr>
            <w:tcW w:type="dxa" w:w="5329"/>
          </w:tcPr>
          <w:p>
            <w:r/>
            <w:r>
              <w:rPr>
                <w:sz w:val="16"/>
              </w:rPr>
              <w:t>Rindieron -0,0%, menos que el S&amp;P 500 (1,2%): Low-Volatility es defensiva en un mercado al alza y las comisiones restan</w:t>
            </w:r>
          </w:p>
        </w:tc>
      </w:tr>
      <w:tr>
        <w:tc>
          <w:tcPr>
            <w:tcW w:type="dxa" w:w="2381"/>
            <w:shd w:val="clear" w:color="auto" w:fill="F2F5F9"/>
          </w:tcPr>
          <w:p>
            <w:r/>
            <w:r>
              <w:rPr>
                <w:sz w:val="16"/>
              </w:rPr>
              <w:t>Liquidez (SGOV)</w:t>
            </w:r>
          </w:p>
        </w:tc>
        <w:tc>
          <w:tcPr>
            <w:tcW w:type="dxa" w:w="1361"/>
            <w:shd w:val="clear" w:color="auto" w:fill="F2F5F9"/>
          </w:tcPr>
          <w:p>
            <w:r/>
            <w:r>
              <w:rPr>
                <w:sz w:val="16"/>
              </w:rPr>
              <w:t>11</w:t>
            </w:r>
          </w:p>
        </w:tc>
        <w:tc>
          <w:tcPr>
            <w:tcW w:type="dxa" w:w="5329"/>
            <w:shd w:val="clear" w:color="auto" w:fill="F2F5F9"/>
          </w:tcPr>
          <w:p>
            <w:r/>
            <w:r>
              <w:rPr>
                <w:sz w:val="16"/>
              </w:rPr>
              <w:t>Rinde como las letras del Tesoro</w:t>
            </w:r>
          </w:p>
        </w:tc>
      </w:tr>
    </w:tbl>
    <w:p>
      <w:r>
        <w:rPr>
          <w:i/>
          <w:sz w:val="16"/>
        </w:rPr>
        <w:t>Los bloques suman USD -1.734, igual que StockTrak. Incluyen dividendos y comisiones (62 operaciones, USD 620); sin comisiones, la cartera iría -0,7%.</w:t>
      </w:r>
    </w:p>
    <w:p>
      <w:r>
        <w:rPr>
          <w:i w:val="0"/>
        </w:rPr>
        <w:t>Lo que esperábamos y lo que pasó. La estrategia se diseñó para metas a 14-50 años, no para ganarle al S&amp;P 500 en cuatro semanas. Los bonos largos se eligieron porque protegen cuando las acciones caen (en febrero y marzo de 2020 subieron 2,3% mientras el S&amp;P 500 caía 19%); su costo es caer cuando suben las tasas, que es exactamente lo que ocurrió en septiembre. La beta realizada de la cartera (0,58) muestra que se movió menos que el mercado, como se diseñó, y el tracking error frente a la política (2,1%) está dentro del objetivo de 3%.</w:t>
      </w:r>
    </w:p>
    <w:p>
      <w:pPr>
        <w:pStyle w:val="ListBullet"/>
      </w:pPr>
      <w:r>
        <w:rPr>
          <w:b/>
        </w:rPr>
        <w:t xml:space="preserve">Diversificar se nota en los días malos: </w:t>
      </w:r>
      <w:r>
        <w:t>el 28-sep el S&amp;P 500 cayó 0,74% y Low-Volatility quedó prácticamente plana (−0,09%).</w:t>
      </w:r>
    </w:p>
    <w:p>
      <w:pPr>
        <w:pStyle w:val="ListBullet"/>
      </w:pPr>
      <w:r>
        <w:rPr>
          <w:b/>
        </w:rPr>
        <w:t xml:space="preserve">Las reglas evitan decisiones por impulso: </w:t>
      </w:r>
      <w:r>
        <w:t>la única venta fuera de la señal (el petróleo, 2-oct) se tomó por riesgo de concentración y quedó documentada con su motivo.</w:t>
      </w:r>
    </w:p>
    <w:p>
      <w:pPr>
        <w:pStyle w:val="ListBullet"/>
      </w:pPr>
      <w:r>
        <w:rPr>
          <w:b/>
        </w:rPr>
        <w:t xml:space="preserve">En una cartera chica las comisiones pesan: </w:t>
      </w:r>
      <w:r>
        <w:t>por eso Momentum pasó de 10 a 7 acciones; fue la única regla modificada.</w:t>
      </w:r>
    </w:p>
    <w:p>
      <w:pPr>
        <w:pStyle w:val="ListBullet"/>
      </w:pPr>
      <w:r>
        <w:rPr>
          <w:b/>
        </w:rPr>
        <w:t xml:space="preserve">Validar antes que ajustar: </w:t>
      </w:r>
      <w:r>
        <w:t>aunque hoy commodities quede invertido solo en cobre, no se cambian las reglas a mitad de la simulación; el objetivo es probar la estrategia que se estudió, no optimizarla mirando el resultado.</w:t>
      </w:r>
    </w:p>
    <w:p>
      <w:pPr>
        <w:pStyle w:val="Heading1"/>
      </w:pPr>
      <w:r>
        <w:t>6. Riesgos principales y mitigantes</w:t>
      </w:r>
    </w:p>
    <w:tbl>
      <w:tblPr>
        <w:tblStyle w:val="TableGrid"/>
        <w:tblW w:type="auto" w:w="0"/>
        <w:jc w:val="center"/>
        <w:tblLook w:firstColumn="1" w:firstRow="1" w:lastColumn="0" w:lastRow="0" w:noHBand="0" w:noVBand="1" w:val="04A0"/>
      </w:tblPr>
      <w:tblGrid>
        <w:gridCol w:w="3211"/>
        <w:gridCol w:w="3211"/>
        <w:gridCol w:w="3211"/>
      </w:tblGrid>
      <w:tr>
        <w:tc>
          <w:tcPr>
            <w:tcW w:type="dxa" w:w="2041"/>
            <w:shd w:val="clear" w:color="auto" w:fill="1F3A5F"/>
          </w:tcPr>
          <w:p>
            <w:r/>
            <w:r>
              <w:rPr>
                <w:b/>
                <w:color w:val="FFFFFF"/>
                <w:sz w:val="17"/>
              </w:rPr>
              <w:t>Riesgo</w:t>
            </w:r>
          </w:p>
        </w:tc>
        <w:tc>
          <w:tcPr>
            <w:tcW w:type="dxa" w:w="3175"/>
            <w:shd w:val="clear" w:color="auto" w:fill="1F3A5F"/>
          </w:tcPr>
          <w:p>
            <w:r/>
            <w:r>
              <w:rPr>
                <w:b/>
                <w:color w:val="FFFFFF"/>
                <w:sz w:val="17"/>
              </w:rPr>
              <w:t>Exposición</w:t>
            </w:r>
          </w:p>
        </w:tc>
        <w:tc>
          <w:tcPr>
            <w:tcW w:type="dxa" w:w="3855"/>
            <w:shd w:val="clear" w:color="auto" w:fill="1F3A5F"/>
          </w:tcPr>
          <w:p>
            <w:r/>
            <w:r>
              <w:rPr>
                <w:b/>
                <w:color w:val="FFFFFF"/>
                <w:sz w:val="17"/>
              </w:rPr>
              <w:t>Mitigante</w:t>
            </w:r>
          </w:p>
        </w:tc>
      </w:tr>
      <w:tr>
        <w:tc>
          <w:tcPr>
            <w:tcW w:type="dxa" w:w="2041"/>
          </w:tcPr>
          <w:p>
            <w:r/>
            <w:r>
              <w:rPr>
                <w:sz w:val="17"/>
              </w:rPr>
              <w:t>Tasas de interés</w:t>
            </w:r>
          </w:p>
        </w:tc>
        <w:tc>
          <w:tcPr>
            <w:tcW w:type="dxa" w:w="3175"/>
          </w:tcPr>
          <w:p>
            <w:r/>
            <w:r>
              <w:rPr>
                <w:sz w:val="17"/>
              </w:rPr>
              <w:t>TLH + VCLT ≈ 31%; más Low-Vol en utilities/REITs</w:t>
            </w:r>
          </w:p>
        </w:tc>
        <w:tc>
          <w:tcPr>
            <w:tcW w:type="dxa" w:w="3855"/>
          </w:tcPr>
          <w:p>
            <w:r/>
            <w:r>
              <w:rPr>
                <w:sz w:val="17"/>
              </w:rPr>
              <w:t>Banda de rebalanceo; límite a utilities/REITs; revisión de la duración en la revisión anual</w:t>
            </w:r>
          </w:p>
        </w:tc>
      </w:tr>
      <w:tr>
        <w:tc>
          <w:tcPr>
            <w:tcW w:type="dxa" w:w="2041"/>
            <w:shd w:val="clear" w:color="auto" w:fill="F2F5F9"/>
          </w:tcPr>
          <w:p>
            <w:r/>
            <w:r>
              <w:rPr>
                <w:sz w:val="17"/>
              </w:rPr>
              <w:t>Retorno de mercado menor al requerido</w:t>
            </w:r>
          </w:p>
        </w:tc>
        <w:tc>
          <w:tcPr>
            <w:tcW w:type="dxa" w:w="3175"/>
            <w:shd w:val="clear" w:color="auto" w:fill="F2F5F9"/>
          </w:tcPr>
          <w:p>
            <w:r/>
            <w:r>
              <w:rPr>
                <w:sz w:val="17"/>
              </w:rPr>
              <w:t>Retorno esperado (4,6%) levemente bajo el requerido</w:t>
            </w:r>
          </w:p>
        </w:tc>
        <w:tc>
          <w:tcPr>
            <w:tcW w:type="dxa" w:w="3855"/>
            <w:shd w:val="clear" w:color="auto" w:fill="F2F5F9"/>
          </w:tcPr>
          <w:p>
            <w:r/>
            <w:r>
              <w:rPr>
                <w:sz w:val="17"/>
              </w:rPr>
              <w:t>Palancas acordadas: herencia y luego Villarrica; nunca Educación</w:t>
            </w:r>
          </w:p>
        </w:tc>
      </w:tr>
      <w:tr>
        <w:tc>
          <w:tcPr>
            <w:tcW w:type="dxa" w:w="2041"/>
          </w:tcPr>
          <w:p>
            <w:r/>
            <w:r>
              <w:rPr>
                <w:sz w:val="17"/>
              </w:rPr>
              <w:t>Concentración tecnológica / capital humano</w:t>
            </w:r>
          </w:p>
        </w:tc>
        <w:tc>
          <w:tcPr>
            <w:tcW w:type="dxa" w:w="3175"/>
          </w:tcPr>
          <w:p>
            <w:r/>
            <w:r>
              <w:rPr>
                <w:sz w:val="17"/>
              </w:rPr>
              <w:t>Empleo de Tomás en software</w:t>
            </w:r>
          </w:p>
        </w:tc>
        <w:tc>
          <w:tcPr>
            <w:tcW w:type="dxa" w:w="3855"/>
          </w:tcPr>
          <w:p>
            <w:r/>
            <w:r>
              <w:rPr>
                <w:sz w:val="17"/>
              </w:rPr>
              <w:t>Límite de 2 acciones por sector en el satélite; tecnología ~14% vs ~26% en la AGF</w:t>
            </w:r>
          </w:p>
        </w:tc>
      </w:tr>
      <w:tr>
        <w:tc>
          <w:tcPr>
            <w:tcW w:type="dxa" w:w="2041"/>
            <w:shd w:val="clear" w:color="auto" w:fill="F2F5F9"/>
          </w:tcPr>
          <w:p>
            <w:r/>
            <w:r>
              <w:rPr>
                <w:sz w:val="17"/>
              </w:rPr>
              <w:t>Caídas abruptas de Momentum</w:t>
            </w:r>
          </w:p>
        </w:tc>
        <w:tc>
          <w:tcPr>
            <w:tcW w:type="dxa" w:w="3175"/>
            <w:shd w:val="clear" w:color="auto" w:fill="F2F5F9"/>
          </w:tcPr>
          <w:p>
            <w:r/>
            <w:r>
              <w:rPr>
                <w:sz w:val="17"/>
              </w:rPr>
              <w:t>7% de la cartera, volatilidad ~24%</w:t>
            </w:r>
          </w:p>
        </w:tc>
        <w:tc>
          <w:tcPr>
            <w:tcW w:type="dxa" w:w="3855"/>
            <w:shd w:val="clear" w:color="auto" w:fill="F2F5F9"/>
          </w:tcPr>
          <w:p>
            <w:r/>
            <w:r>
              <w:rPr>
                <w:sz w:val="17"/>
              </w:rPr>
              <w:t>Peso acotado, peso igual, stops de emergencia</w:t>
            </w:r>
          </w:p>
        </w:tc>
      </w:tr>
      <w:tr>
        <w:tc>
          <w:tcPr>
            <w:tcW w:type="dxa" w:w="2041"/>
          </w:tcPr>
          <w:p>
            <w:r/>
            <w:r>
              <w:rPr>
                <w:sz w:val="17"/>
              </w:rPr>
              <w:t>Tipo de cambio</w:t>
            </w:r>
          </w:p>
        </w:tc>
        <w:tc>
          <w:tcPr>
            <w:tcW w:type="dxa" w:w="3175"/>
          </w:tcPr>
          <w:p>
            <w:r/>
            <w:r>
              <w:rPr>
                <w:sz w:val="17"/>
              </w:rPr>
              <w:t>Objetivos en UF/CLP, activos en USD</w:t>
            </w:r>
          </w:p>
        </w:tc>
        <w:tc>
          <w:tcPr>
            <w:tcW w:type="dxa" w:w="3855"/>
          </w:tcPr>
          <w:p>
            <w:r/>
            <w:r>
              <w:rPr>
                <w:sz w:val="17"/>
              </w:rPr>
              <w:t>Forward de venta de USD 104.000 a un año (~70%, cerca de la cobertura de mínimo riesgo en pesos); cobertura natural; simulaciones en UF; reserva cambiaria de 2%</w:t>
            </w:r>
          </w:p>
        </w:tc>
      </w:tr>
      <w:tr>
        <w:tc>
          <w:tcPr>
            <w:tcW w:type="dxa" w:w="2041"/>
            <w:shd w:val="clear" w:color="auto" w:fill="F2F5F9"/>
          </w:tcPr>
          <w:p>
            <w:r/>
            <w:r>
              <w:rPr>
                <w:sz w:val="17"/>
              </w:rPr>
              <w:t>Liquidez del forward</w:t>
            </w:r>
          </w:p>
        </w:tc>
        <w:tc>
          <w:tcPr>
            <w:tcW w:type="dxa" w:w="3175"/>
            <w:shd w:val="clear" w:color="auto" w:fill="F2F5F9"/>
          </w:tcPr>
          <w:p>
            <w:r/>
            <w:r>
              <w:rPr>
                <w:sz w:val="17"/>
              </w:rPr>
              <w:t>Si el dólar sube, Nexum paga la compensación al vencimiento (sept-2027)</w:t>
            </w:r>
          </w:p>
        </w:tc>
        <w:tc>
          <w:tcPr>
            <w:tcW w:type="dxa" w:w="3855"/>
            <w:shd w:val="clear" w:color="auto" w:fill="F2F5F9"/>
          </w:tcPr>
          <w:p>
            <w:r/>
            <w:r>
              <w:rPr>
                <w:sz w:val="17"/>
              </w:rPr>
              <w:t>Se paga con SGOV y venta de activos en USD, que en ese escenario valen más en pesos; supera la reserva de 2% en 42% de los escenarios; valor de mercado informado mensualmente</w:t>
            </w:r>
          </w:p>
        </w:tc>
      </w:tr>
      <w:tr>
        <w:tc>
          <w:tcPr>
            <w:tcW w:type="dxa" w:w="2041"/>
          </w:tcPr>
          <w:p>
            <w:r/>
            <w:r>
              <w:rPr>
                <w:sz w:val="17"/>
              </w:rPr>
              <w:t>Empleo de Tomás</w:t>
            </w:r>
          </w:p>
        </w:tc>
        <w:tc>
          <w:tcPr>
            <w:tcW w:type="dxa" w:w="3175"/>
          </w:tcPr>
          <w:p>
            <w:r/>
            <w:r>
              <w:rPr>
                <w:sz w:val="17"/>
              </w:rPr>
              <w:t>Aportes condicionados a seguir empleado</w:t>
            </w:r>
          </w:p>
        </w:tc>
        <w:tc>
          <w:tcPr>
            <w:tcW w:type="dxa" w:w="3855"/>
          </w:tcPr>
          <w:p>
            <w:r/>
            <w:r>
              <w:rPr>
                <w:sz w:val="17"/>
              </w:rPr>
              <w:t>Escenario de 14 aportes en la TIR; fondo de emergencia fuera del mandato; seguro de vida e invalidez</w:t>
            </w:r>
          </w:p>
        </w:tc>
      </w:tr>
    </w:tbl>
    <w:p/>
    <w:p>
      <w:pPr>
        <w:pStyle w:val="Heading1"/>
      </w:pPr>
      <w:r>
        <w:t>7. Conclusión</w:t>
      </w:r>
    </w:p>
    <w:p>
      <w:r>
        <w:rPr>
          <w:i w:val="0"/>
        </w:rPr>
        <w:t>La estrategia Nexum cumple el objetivo prioritario —Educación— en prácticamente todos los escenarios, en USD y en UF. Villarrica y la herencia dependen del retorno que entregue el mercado: se cumplen holgadamente con retornos como los de 2013-2026 y con 47% de probabilidad conjunta bajo supuestos prudentes. Frente a la cartera actual de la AGF, Nexum reduce la concentración en EE.UU. y en tecnología, baja las caídas esperadas y mejora la probabilidad de éxito hacia adelante. La recomendación es mantener la asignación, revisar anualmente el Montecarlo con los gatillos de la sección 2.9 y acordar desde ya el orden de ajuste con la familia.</w:t>
      </w:r>
    </w:p>
    <w:p>
      <w:pPr>
        <w:pStyle w:val="Heading1"/>
      </w:pPr>
      <w:r>
        <w:t>Referencias</w:t>
      </w:r>
    </w:p>
    <w:p>
      <w:pPr>
        <w:ind w:left="340" w:hanging="340"/>
      </w:pPr>
      <w:r>
        <w:rPr>
          <w:sz w:val="17"/>
        </w:rPr>
        <w:t>Ang, A., Hodrick, R., Xing, Y. y Zhang, X. (2006). The Cross-Section of Volatility and Expected Returns. Journal of Finance, 61(1), 259-299.</w:t>
      </w:r>
    </w:p>
    <w:p>
      <w:pPr>
        <w:ind w:left="340" w:hanging="340"/>
      </w:pPr>
      <w:r>
        <w:rPr>
          <w:sz w:val="17"/>
        </w:rPr>
        <w:t>Asness, C., Moskowitz, T. y Pedersen, L. (2013). Value and Momentum Everywhere. Journal of Finance, 68(3), 929-985.</w:t>
      </w:r>
    </w:p>
    <w:p>
      <w:pPr>
        <w:ind w:left="340" w:hanging="340"/>
      </w:pPr>
      <w:r>
        <w:rPr>
          <w:sz w:val="17"/>
        </w:rPr>
        <w:t>Baker, M., Bradley, B. y Wurgler, J. (2011). Benchmarks as Limits to Arbitrage: Understanding the Low-Volatility Anomaly. Financial Analysts Journal, 67(1), 40-54.</w:t>
      </w:r>
    </w:p>
    <w:p>
      <w:pPr>
        <w:ind w:left="340" w:hanging="340"/>
      </w:pPr>
      <w:r>
        <w:rPr>
          <w:sz w:val="17"/>
        </w:rPr>
        <w:t>Barroso, P. y Santa-Clara, P. (2015). Momentum Has Its Moments. Journal of Financial Economics, 116(1), 111-120.</w:t>
      </w:r>
    </w:p>
    <w:p>
      <w:pPr>
        <w:ind w:left="340" w:hanging="340"/>
      </w:pPr>
      <w:r>
        <w:rPr>
          <w:sz w:val="17"/>
        </w:rPr>
        <w:t>Black, F. y Litterman, R. (1992). Global Portfolio Optimization. Financial Analysts Journal, 48(5), 28-43.</w:t>
      </w:r>
    </w:p>
    <w:p>
      <w:pPr>
        <w:ind w:left="340" w:hanging="340"/>
      </w:pPr>
      <w:r>
        <w:rPr>
          <w:sz w:val="17"/>
        </w:rPr>
        <w:t>Blitz, D. y van Vliet, P. (2007). The Volatility Effect. Journal of Portfolio Management, 34(1), 102-113.</w:t>
      </w:r>
    </w:p>
    <w:p>
      <w:pPr>
        <w:ind w:left="340" w:hanging="340"/>
      </w:pPr>
      <w:r>
        <w:rPr>
          <w:sz w:val="17"/>
        </w:rPr>
        <w:t>Campbell, J. Y., Serfaty-de Medeiros, K. y Viceira, L. M. (2010). Global Currency Hedging. Journal of Finance, 65(1), 87-121.</w:t>
      </w:r>
    </w:p>
    <w:p>
      <w:pPr>
        <w:ind w:left="340" w:hanging="340"/>
      </w:pPr>
      <w:r>
        <w:rPr>
          <w:sz w:val="17"/>
        </w:rPr>
        <w:t>Carhart, M. (1997). On Persistence in Mutual Fund Performance. Journal of Finance, 52(1), 57-82.</w:t>
      </w:r>
    </w:p>
    <w:p>
      <w:pPr>
        <w:ind w:left="340" w:hanging="340"/>
      </w:pPr>
      <w:r>
        <w:rPr>
          <w:sz w:val="17"/>
        </w:rPr>
        <w:t>Daniel, K. y Moskowitz, T. (2016). Momentum Crashes. Journal of Financial Economics, 122(2), 221-247.</w:t>
      </w:r>
    </w:p>
    <w:p>
      <w:pPr>
        <w:ind w:left="340" w:hanging="340"/>
      </w:pPr>
      <w:r>
        <w:rPr>
          <w:sz w:val="17"/>
        </w:rPr>
        <w:t>DeMiguel, V., Garlappi, L. y Uppal, R. (2009). Optimal Versus Naive Diversification. Review of Financial Studies, 22(5), 1915-1953.</w:t>
      </w:r>
    </w:p>
    <w:p>
      <w:pPr>
        <w:ind w:left="340" w:hanging="340"/>
      </w:pPr>
      <w:r>
        <w:rPr>
          <w:sz w:val="17"/>
        </w:rPr>
        <w:t>Erb, C. y Harvey, C. (2006). The Strategic and Tactical Value of Commodity Futures. Financial Analysts Journal, 62(2), 69-97.</w:t>
      </w:r>
    </w:p>
    <w:p>
      <w:pPr>
        <w:ind w:left="340" w:hanging="340"/>
      </w:pPr>
      <w:r>
        <w:rPr>
          <w:sz w:val="17"/>
        </w:rPr>
        <w:t>Faber, M. (2007). A Quantitative Approach to Tactical Asset Allocation. Journal of Wealth Management, 9(4), 69-79.</w:t>
      </w:r>
    </w:p>
    <w:p>
      <w:pPr>
        <w:ind w:left="340" w:hanging="340"/>
      </w:pPr>
      <w:r>
        <w:rPr>
          <w:sz w:val="17"/>
        </w:rPr>
        <w:t>Frazzini, A. y Pedersen, L. (2014). Betting Against Beta. Journal of Financial Economics, 111(1), 1-25.</w:t>
      </w:r>
    </w:p>
    <w:p>
      <w:pPr>
        <w:ind w:left="340" w:hanging="340"/>
      </w:pPr>
      <w:r>
        <w:rPr>
          <w:sz w:val="17"/>
        </w:rPr>
        <w:t>Froot, K. A. (1993). Currency Hedging over Long Horizons. NBER Working Paper 4355.</w:t>
      </w:r>
    </w:p>
    <w:p>
      <w:pPr>
        <w:ind w:left="340" w:hanging="340"/>
      </w:pPr>
      <w:r>
        <w:rPr>
          <w:sz w:val="17"/>
        </w:rPr>
        <w:t>Grinold, R. y Kahn, R. (2000). Active Portfolio Management (2a ed.). McGraw-Hill.</w:t>
      </w:r>
    </w:p>
    <w:p>
      <w:pPr>
        <w:ind w:left="340" w:hanging="340"/>
      </w:pPr>
      <w:r>
        <w:rPr>
          <w:sz w:val="17"/>
        </w:rPr>
        <w:t>Haugen, R. y Heins, A. (1975). Risk and the Rate of Return on Financial Assets. Journal of Financial and Quantitative Analysis, 10(5), 775-784.</w:t>
      </w:r>
    </w:p>
    <w:p>
      <w:pPr>
        <w:ind w:left="340" w:hanging="340"/>
      </w:pPr>
      <w:r>
        <w:rPr>
          <w:sz w:val="17"/>
        </w:rPr>
        <w:t>He, G. y Litterman, R. (1999). The Intuition Behind Black-Litterman Model Portfolios. Goldman Sachs Investment Management Research.</w:t>
      </w:r>
    </w:p>
    <w:p>
      <w:pPr>
        <w:ind w:left="340" w:hanging="340"/>
      </w:pPr>
      <w:r>
        <w:rPr>
          <w:sz w:val="17"/>
        </w:rPr>
        <w:t>Jegadeesh, N. y Titman, S. (1993). Returns to Buying Winners and Selling Losers. Journal of Finance, 48(1), 65-91.</w:t>
      </w:r>
    </w:p>
    <w:p>
      <w:pPr>
        <w:ind w:left="340" w:hanging="340"/>
      </w:pPr>
      <w:r>
        <w:rPr>
          <w:sz w:val="17"/>
        </w:rPr>
        <w:t>Markowitz, H. (1952). Portfolio Selection. Journal of Finance, 7(1), 77-91.</w:t>
      </w:r>
    </w:p>
    <w:p>
      <w:pPr>
        <w:ind w:left="340" w:hanging="340"/>
      </w:pPr>
      <w:r>
        <w:rPr>
          <w:sz w:val="17"/>
        </w:rPr>
        <w:t>McLean, R. y Pontiff, J. (2016). Does Academic Research Destroy Stock Return Predictability? Journal of Finance, 71(1), 5-32.</w:t>
      </w:r>
    </w:p>
    <w:p>
      <w:pPr>
        <w:ind w:left="340" w:hanging="340"/>
      </w:pPr>
      <w:r>
        <w:rPr>
          <w:sz w:val="17"/>
        </w:rPr>
        <w:t>Miffre, J. y Rallis, G. (2007). Momentum Strategies in Commodity Futures Markets. Journal of Banking &amp; Finance, 31(6), 1863-1886.</w:t>
      </w:r>
    </w:p>
    <w:p>
      <w:pPr>
        <w:ind w:left="340" w:hanging="340"/>
      </w:pPr>
      <w:r>
        <w:rPr>
          <w:sz w:val="17"/>
        </w:rPr>
        <w:t>Moskowitz, T., Ooi, Y. y Pedersen, L. (2012). Time Series Momentum. Journal of Financial Economics, 104(2), 228-250.</w:t>
      </w:r>
    </w:p>
    <w:p>
      <w:pPr>
        <w:ind w:left="340" w:hanging="340"/>
      </w:pPr>
      <w:r>
        <w:rPr>
          <w:sz w:val="17"/>
        </w:rPr>
        <w:t>Quantpedia. (s. f.-a). Momentum Effect in Commodities. https://quantpedia.com/strategies/momentum-effect-in-commodities</w:t>
      </w:r>
    </w:p>
    <w:p>
      <w:pPr>
        <w:ind w:left="340" w:hanging="340"/>
      </w:pPr>
      <w:r>
        <w:rPr>
          <w:sz w:val="17"/>
        </w:rPr>
        <w:t>Quantpedia. (s. f.-b). Momentum Factor Effect in Stocks. https://quantpedia.com/strategies/momentum-factor-effect-in-stocks</w:t>
      </w:r>
    </w:p>
    <w:p>
      <w:pPr>
        <w:ind w:left="340" w:hanging="340"/>
      </w:pPr>
      <w:r>
        <w:rPr>
          <w:sz w:val="17"/>
        </w:rPr>
        <w:t>Rogoff, K. (1996). The Purchasing Power Parity Puzzle. Journal of Economic Literature, 34(2), 647-668.</w:t>
      </w:r>
    </w:p>
    <w:p>
      <w:pPr>
        <w:ind w:left="340" w:hanging="340"/>
      </w:pPr>
      <w:r>
        <w:rPr>
          <w:sz w:val="17"/>
        </w:rPr>
        <w:t>Sharpe, W. F. y Tint, L. G. (1990). Liabilities: A New Approach. Journal of Portfolio Management, 16(2), 5-10.</w:t>
      </w:r>
    </w:p>
    <w:p>
      <w:r>
        <w:br w:type="page"/>
      </w:r>
    </w:p>
    <w:p>
      <w:pPr>
        <w:pStyle w:val="Heading1"/>
      </w:pPr>
      <w:r>
        <w:t>Anexo A. Bitácora de auditoría del modelo anterior</w:t>
      </w:r>
    </w:p>
    <w:tbl>
      <w:tblPr>
        <w:tblStyle w:val="TableGrid"/>
        <w:tblW w:type="auto" w:w="0"/>
        <w:jc w:val="center"/>
        <w:tblLook w:firstColumn="1" w:firstRow="1" w:lastColumn="0" w:lastRow="0" w:noHBand="0" w:noVBand="1" w:val="04A0"/>
      </w:tblPr>
      <w:tblGrid>
        <w:gridCol w:w="3211"/>
        <w:gridCol w:w="3211"/>
        <w:gridCol w:w="3211"/>
      </w:tblGrid>
      <w:tr>
        <w:tc>
          <w:tcPr>
            <w:tcW w:type="dxa" w:w="1020"/>
            <w:shd w:val="clear" w:color="auto" w:fill="1F3A5F"/>
          </w:tcPr>
          <w:p>
            <w:r/>
            <w:r>
              <w:rPr>
                <w:b/>
                <w:color w:val="FFFFFF"/>
                <w:sz w:val="17"/>
              </w:rPr>
              <w:t>Gravedad</w:t>
            </w:r>
          </w:p>
        </w:tc>
        <w:tc>
          <w:tcPr>
            <w:tcW w:type="dxa" w:w="4762"/>
            <w:shd w:val="clear" w:color="auto" w:fill="1F3A5F"/>
          </w:tcPr>
          <w:p>
            <w:r/>
            <w:r>
              <w:rPr>
                <w:b/>
                <w:color w:val="FFFFFF"/>
                <w:sz w:val="17"/>
              </w:rPr>
              <w:t>Hallazgo</w:t>
            </w:r>
          </w:p>
        </w:tc>
        <w:tc>
          <w:tcPr>
            <w:tcW w:type="dxa" w:w="3288"/>
            <w:shd w:val="clear" w:color="auto" w:fill="1F3A5F"/>
          </w:tcPr>
          <w:p>
            <w:r/>
            <w:r>
              <w:rPr>
                <w:b/>
                <w:color w:val="FFFFFF"/>
                <w:sz w:val="17"/>
              </w:rPr>
              <w:t>Corrección</w:t>
            </w:r>
          </w:p>
        </w:tc>
      </w:tr>
      <w:tr>
        <w:tc>
          <w:tcPr>
            <w:tcW w:type="dxa" w:w="1020"/>
          </w:tcPr>
          <w:p>
            <w:r/>
            <w:r>
              <w:rPr>
                <w:sz w:val="17"/>
              </w:rPr>
              <w:t>Alta</w:t>
            </w:r>
          </w:p>
        </w:tc>
        <w:tc>
          <w:tcPr>
            <w:tcW w:type="dxa" w:w="4762"/>
          </w:tcPr>
          <w:p>
            <w:r/>
            <w:r>
              <w:rPr>
                <w:sz w:val="17"/>
              </w:rPr>
              <w:t>Fórmulas sin valores guardados en el Excel</w:t>
            </w:r>
          </w:p>
        </w:tc>
        <w:tc>
          <w:tcPr>
            <w:tcW w:type="dxa" w:w="3288"/>
          </w:tcPr>
          <w:p>
            <w:r/>
            <w:r>
              <w:rPr>
                <w:sz w:val="17"/>
              </w:rPr>
              <w:t>Modelo v2 recalculado y guardado en Excel</w:t>
            </w:r>
          </w:p>
        </w:tc>
      </w:tr>
      <w:tr>
        <w:tc>
          <w:tcPr>
            <w:tcW w:type="dxa" w:w="1020"/>
            <w:shd w:val="clear" w:color="auto" w:fill="F2F5F9"/>
          </w:tcPr>
          <w:p>
            <w:r/>
            <w:r>
              <w:rPr>
                <w:sz w:val="17"/>
              </w:rPr>
              <w:t>Alta</w:t>
            </w:r>
          </w:p>
        </w:tc>
        <w:tc>
          <w:tcPr>
            <w:tcW w:type="dxa" w:w="4762"/>
            <w:shd w:val="clear" w:color="auto" w:fill="F2F5F9"/>
          </w:tcPr>
          <w:p>
            <w:r/>
            <w:r>
              <w:rPr>
                <w:sz w:val="17"/>
              </w:rPr>
              <w:t>Mezcla de dos arquitecturas (calce LDI de Educación vs cartera única) y notas 'PENDIENTE'</w:t>
            </w:r>
          </w:p>
        </w:tc>
        <w:tc>
          <w:tcPr>
            <w:tcW w:type="dxa" w:w="3288"/>
            <w:shd w:val="clear" w:color="auto" w:fill="F2F5F9"/>
          </w:tcPr>
          <w:p>
            <w:r/>
            <w:r>
              <w:rPr>
                <w:sz w:val="17"/>
              </w:rPr>
              <w:t>Solo cartera única; textos depurados</w:t>
            </w:r>
          </w:p>
        </w:tc>
      </w:tr>
      <w:tr>
        <w:tc>
          <w:tcPr>
            <w:tcW w:type="dxa" w:w="1020"/>
          </w:tcPr>
          <w:p>
            <w:r/>
            <w:r>
              <w:rPr>
                <w:sz w:val="17"/>
              </w:rPr>
              <w:t>Alta</w:t>
            </w:r>
          </w:p>
        </w:tc>
        <w:tc>
          <w:tcPr>
            <w:tcW w:type="dxa" w:w="4762"/>
          </w:tcPr>
          <w:p>
            <w:r/>
            <w:r>
              <w:rPr>
                <w:sz w:val="17"/>
              </w:rPr>
              <w:t>Referencias a Betting Against Beta (BAB_EQ)</w:t>
            </w:r>
          </w:p>
        </w:tc>
        <w:tc>
          <w:tcPr>
            <w:tcW w:type="dxa" w:w="3288"/>
          </w:tcPr>
          <w:p>
            <w:r/>
            <w:r>
              <w:rPr>
                <w:sz w:val="17"/>
              </w:rPr>
              <w:t>Eliminadas; la estrategia es Low-Volatility</w:t>
            </w:r>
          </w:p>
        </w:tc>
      </w:tr>
      <w:tr>
        <w:tc>
          <w:tcPr>
            <w:tcW w:type="dxa" w:w="1020"/>
            <w:shd w:val="clear" w:color="auto" w:fill="F2F5F9"/>
          </w:tcPr>
          <w:p>
            <w:r/>
            <w:r>
              <w:rPr>
                <w:sz w:val="17"/>
              </w:rPr>
              <w:t>Alta</w:t>
            </w:r>
          </w:p>
        </w:tc>
        <w:tc>
          <w:tcPr>
            <w:tcW w:type="dxa" w:w="4762"/>
            <w:shd w:val="clear" w:color="auto" w:fill="F2F5F9"/>
          </w:tcPr>
          <w:p>
            <w:r/>
            <w:r>
              <w:rPr>
                <w:sz w:val="17"/>
              </w:rPr>
              <w:t>Meses jul-2018 y dic-2018 eliminados de las 6 series por un dato vacío de Low-Vol</w:t>
            </w:r>
          </w:p>
        </w:tc>
        <w:tc>
          <w:tcPr>
            <w:tcW w:type="dxa" w:w="3288"/>
            <w:shd w:val="clear" w:color="auto" w:fill="F2F5F9"/>
          </w:tcPr>
          <w:p>
            <w:r/>
            <w:r>
              <w:rPr>
                <w:sz w:val="17"/>
              </w:rPr>
              <w:t>Ventana completa de 164 meses</w:t>
            </w:r>
          </w:p>
        </w:tc>
      </w:tr>
      <w:tr>
        <w:tc>
          <w:tcPr>
            <w:tcW w:type="dxa" w:w="1020"/>
          </w:tcPr>
          <w:p>
            <w:r/>
            <w:r>
              <w:rPr>
                <w:sz w:val="17"/>
              </w:rPr>
              <w:t>Alta</w:t>
            </w:r>
          </w:p>
        </w:tc>
        <w:tc>
          <w:tcPr>
            <w:tcW w:type="dxa" w:w="4762"/>
          </w:tcPr>
          <w:p>
            <w:r/>
            <w:r>
              <w:rPr>
                <w:sz w:val="17"/>
              </w:rPr>
              <w:t>Filtro de Sharpe de Momentum con volatilidad de 1 mes en el backtest y 12 meses en la operación</w:t>
            </w:r>
          </w:p>
        </w:tc>
        <w:tc>
          <w:tcPr>
            <w:tcW w:type="dxa" w:w="3288"/>
          </w:tcPr>
          <w:p>
            <w:r/>
            <w:r>
              <w:rPr>
                <w:sz w:val="17"/>
              </w:rPr>
              <w:t>Una sola regla: 12 meses</w:t>
            </w:r>
          </w:p>
        </w:tc>
      </w:tr>
      <w:tr>
        <w:tc>
          <w:tcPr>
            <w:tcW w:type="dxa" w:w="1020"/>
            <w:shd w:val="clear" w:color="auto" w:fill="F2F5F9"/>
          </w:tcPr>
          <w:p>
            <w:r/>
            <w:r>
              <w:rPr>
                <w:sz w:val="17"/>
              </w:rPr>
              <w:t>Media</w:t>
            </w:r>
          </w:p>
        </w:tc>
        <w:tc>
          <w:tcPr>
            <w:tcW w:type="dxa" w:w="4762"/>
            <w:shd w:val="clear" w:color="auto" w:fill="F2F5F9"/>
          </w:tcPr>
          <w:p>
            <w:r/>
            <w:r>
              <w:rPr>
                <w:sz w:val="17"/>
              </w:rPr>
              <w:t>Columna π desplazada una fila en Black-Litterman; μ_BL y pesos pegados como valores</w:t>
            </w:r>
          </w:p>
        </w:tc>
        <w:tc>
          <w:tcPr>
            <w:tcW w:type="dxa" w:w="3288"/>
            <w:shd w:val="clear" w:color="auto" w:fill="F2F5F9"/>
          </w:tcPr>
          <w:p>
            <w:r/>
            <w:r>
              <w:rPr>
                <w:sz w:val="17"/>
              </w:rPr>
              <w:t>Fórmulas matriciales vivas (MMULT, MINVERSE)</w:t>
            </w:r>
          </w:p>
        </w:tc>
      </w:tr>
      <w:tr>
        <w:tc>
          <w:tcPr>
            <w:tcW w:type="dxa" w:w="1020"/>
          </w:tcPr>
          <w:p>
            <w:r/>
            <w:r>
              <w:rPr>
                <w:sz w:val="17"/>
              </w:rPr>
              <w:t>Media</w:t>
            </w:r>
          </w:p>
        </w:tc>
        <w:tc>
          <w:tcPr>
            <w:tcW w:type="dxa" w:w="4762"/>
          </w:tcPr>
          <w:p>
            <w:r/>
            <w:r>
              <w:rPr>
                <w:sz w:val="17"/>
              </w:rPr>
              <w:t>Benchmarks distintos entre hojas</w:t>
            </w:r>
          </w:p>
        </w:tc>
        <w:tc>
          <w:tcPr>
            <w:tcW w:type="dxa" w:w="3288"/>
          </w:tcPr>
          <w:p>
            <w:r/>
            <w:r>
              <w:rPr>
                <w:sz w:val="17"/>
              </w:rPr>
              <w:t>Un benchmark invertible por sleeve</w:t>
            </w:r>
          </w:p>
        </w:tc>
      </w:tr>
      <w:tr>
        <w:tc>
          <w:tcPr>
            <w:tcW w:type="dxa" w:w="1020"/>
            <w:shd w:val="clear" w:color="auto" w:fill="F2F5F9"/>
          </w:tcPr>
          <w:p>
            <w:r/>
            <w:r>
              <w:rPr>
                <w:sz w:val="17"/>
              </w:rPr>
              <w:t>Media</w:t>
            </w:r>
          </w:p>
        </w:tc>
        <w:tc>
          <w:tcPr>
            <w:tcW w:type="dxa" w:w="4762"/>
            <w:shd w:val="clear" w:color="auto" w:fill="F2F5F9"/>
          </w:tcPr>
          <w:p>
            <w:r/>
            <w:r>
              <w:rPr>
                <w:sz w:val="17"/>
              </w:rPr>
              <w:t>Universo de commodities ampliado mirando el backtest</w:t>
            </w:r>
          </w:p>
        </w:tc>
        <w:tc>
          <w:tcPr>
            <w:tcW w:type="dxa" w:w="3288"/>
            <w:shd w:val="clear" w:color="auto" w:fill="F2F5F9"/>
          </w:tcPr>
          <w:p>
            <w:r/>
            <w:r>
              <w:rPr>
                <w:sz w:val="17"/>
              </w:rPr>
              <w:t>Declarado y controlado</w:t>
            </w:r>
          </w:p>
        </w:tc>
      </w:tr>
      <w:tr>
        <w:tc>
          <w:tcPr>
            <w:tcW w:type="dxa" w:w="1020"/>
          </w:tcPr>
          <w:p>
            <w:r/>
            <w:r>
              <w:rPr>
                <w:sz w:val="17"/>
              </w:rPr>
              <w:t>Baja</w:t>
            </w:r>
          </w:p>
        </w:tc>
        <w:tc>
          <w:tcPr>
            <w:tcW w:type="dxa" w:w="4762"/>
          </w:tcPr>
          <w:p>
            <w:r/>
            <w:r>
              <w:rPr>
                <w:sz w:val="17"/>
              </w:rPr>
              <w:t>Métricas de la misma estrategia con distintas convenciones</w:t>
            </w:r>
          </w:p>
        </w:tc>
        <w:tc>
          <w:tcPr>
            <w:tcW w:type="dxa" w:w="3288"/>
          </w:tcPr>
          <w:p>
            <w:r/>
            <w:r>
              <w:rPr>
                <w:sz w:val="17"/>
              </w:rPr>
              <w:t>Una convención: exceso sobre T-Bills</w:t>
            </w:r>
          </w:p>
        </w:tc>
      </w:tr>
    </w:tbl>
    <w:p/>
    <w:p>
      <w:pPr>
        <w:pStyle w:val="Heading1"/>
      </w:pPr>
      <w:r>
        <w:t>Anexo B. Preguntas anticipadas para la defensa</w:t>
      </w:r>
    </w:p>
    <w:p>
      <w:r>
        <w:rPr>
          <w:b/>
        </w:rPr>
        <w:t xml:space="preserve">¿Por qué ampliaron el universo de commodities de 3 a 5 ETF después de ver el backtest? </w:t>
      </w:r>
      <w:r>
        <w:rPr>
          <w:i w:val="0"/>
        </w:rPr>
        <w:t>Para diversificar entre complejos de commodities: metales preciosos, energía y agrícolas, más metales industriales (plata y cobre). Reconocemos que la elección de SLV y CPER se hizo después de ver el backtest; por eso lo declaramos como sesgo de selección y lo controlamos. Con el universo original de 3 ETF la cartera rinde 0,25 puntos menos al año, el Sharpe baja de 0,85 a 0,83 y la probabilidad de los tres objetivos de 96,0% a 94,8%. La conclusión no depende de esa decisión, y es el sleeve con menor peso (6,1%) justamente por ser el más frágil.</w:t>
      </w:r>
    </w:p>
    <w:p>
      <w:r>
        <w:rPr>
          <w:b/>
        </w:rPr>
        <w:t xml:space="preserve">¿Por qué Villarrica tiene prioridad sobre la herencia, si la herencia es el monto mayor? </w:t>
      </w:r>
      <w:r>
        <w:rPr>
          <w:i w:val="0"/>
        </w:rPr>
        <w:t>Porque la herencia no tiene fecha rígida y es un objetivo de riqueza terminal a 50 años: por diseño absorbe la variabilidad de los resultados. Villarrica tiene fecha (la jubilación) y compromete además UF 15.000 de la venta de la casa. Es el orden del enunciado y fue validado con el criterio de flexibilidad. Las palancas siguen ese mismo orden: primero se ajusta la herencia, luego Villarrica, nunca Educación.</w:t>
      </w:r>
    </w:p>
    <w:p>
      <w:r>
        <w:rPr>
          <w:b/>
        </w:rPr>
        <w:t xml:space="preserve">¿Por qué la probabilidad de cumplir los tres objetivos es solo 46,5% en el escenario prospectivo? </w:t>
      </w:r>
      <w:r>
        <w:rPr>
          <w:i w:val="0"/>
        </w:rPr>
        <w:t>Porque con supuestos prudentes el retorno real esperado (~4,6%) queda levemente bajo el requerido (4,65%). Lo presentamos con transparencia en vez de mostrar solo el 96% histórico. Educación está asegurada en todos los escenarios; para Villarrica y la herencia se acordaron palancas que elevan la probabilidad a ~75%.</w:t>
      </w:r>
    </w:p>
    <w:p>
      <w:r>
        <w:rPr>
          <w:b/>
        </w:rPr>
        <w:t xml:space="preserve">¿Por qué USD como moneda funcional si las necesidades del cliente están en UF y CLP? </w:t>
      </w:r>
      <w:r>
        <w:rPr>
          <w:i w:val="0"/>
        </w:rPr>
        <w:t>Todo el universo de inversión cotiza en USD. El peso se deprecia cuando caen los mercados (cobertura natural) y el ahorro en USD diversifica el riesgo país de una familia cuyo capital humano y vivienda están en Chile. Las simulaciones se presentan también en UF, y el riesgo cambiario de corto plazo se cubre parcialmente con un forward.</w:t>
      </w:r>
    </w:p>
    <w:p>
      <w:r>
        <w:rPr>
          <w:b/>
        </w:rPr>
        <w:t xml:space="preserve">¿Por qué solo un forward a un año, si las metas son de largo plazo? </w:t>
      </w:r>
      <w:r>
        <w:rPr>
          <w:i w:val="0"/>
        </w:rPr>
        <w:t>Porque se renueva al vencer cada contrato (roll-over) y la gestión debe hacerse con instrumentos de StockTrak, que están en USD. La cobertura es parcial a propósito: el dólar sube cuando caen las bolsas y la parte no cubierta amortigua las caídas en pesos. El riesgo cambiario está en la simulación (en UF la probabilidad de los tres objetivos es 45,3% frente a 46,5% en USD). A medida que se acerque cada pago en UF, la cobertura sube al 100% de ese monto, y para Educación recomendamos evaluar un swap CLF/USD en la próxima revisión del IPS.</w:t>
      </w:r>
    </w:p>
    <w:p>
      <w:r>
        <w:rPr>
          <w:b/>
        </w:rPr>
        <w:t xml:space="preserve">Si el perfil excluye derivados, ¿por qué firmaron un forward? </w:t>
      </w:r>
      <w:r>
        <w:rPr>
          <w:i w:val="0"/>
        </w:rPr>
        <w:t>El perfil excluye derivados complejos, apalancamiento y especulación. Un forward de monedas es el derivado más simple, se usa solo para cubrir y el monto es menor que la cartera, así que no apalanca. Cubre 70% de la cartera: más cobertura no reduce el riesgo en pesos, porque el peso ya se deprecia cuando caen los mercados. Su costo es bajo (0,44% del monto) y su riesgo es de liquidez: si el dólar sube hay que pagar la compensación, pero en ese escenario la cartera vale más en pesos.</w:t>
      </w:r>
    </w:p>
    <w:p>
      <w:r>
        <w:rPr>
          <w:b/>
        </w:rPr>
        <w:t xml:space="preserve">¿Contra qué se evalúa cada clase de activo? </w:t>
      </w:r>
      <w:r>
        <w:rPr>
          <w:i w:val="0"/>
        </w:rPr>
        <w:t>Renta variable contra el S&amp;P 500, renta fija larga contra el Bloomberg U.S. Long Government/Credit Index (el que sigue el ETF BLV), commodities contra el Bloomberg Commodity Index (DJP) y la reserva contra T-Bills. Frente a ese benchmark, Nexum rindió 9,9% vs 10,5% en 2016-2026, con menos volatilidad y caídas más bajas: el satélite de renta variable baja el riesgo, no busca superar al índice en un mercado alcista.</w:t>
      </w:r>
    </w:p>
    <w:p>
      <w:r>
        <w:rPr>
          <w:b/>
        </w:rPr>
        <w:t xml:space="preserve">Si el Grable-Lytton da 30 puntos y hoy tienen 85% en riesgo, ¿por qué el perfil es moderado y no agresivo? </w:t>
      </w:r>
      <w:r>
        <w:rPr>
          <w:i w:val="0"/>
        </w:rPr>
        <w:t>Porque el perfil combina disposición y capacidad. El cuestionario muestra disposición a tomar riesgo después de informarse, pero también preferencia por la ganancia segura y poca experiencia en acciones. La capacidad es alta a 50 años, pero Educación es rígida y empieza en el año 14. El 85% de la AGF muestra que soportan volatilidad, pero esa cartera no considera que Educación empieza en el año 14. Por eso recomendamos 60-65% de renta variable, con volatilidad de 10-12%.</w:t>
      </w:r>
    </w:p>
    <w:p>
      <w:r>
        <w:rPr>
          <w:b/>
        </w:rPr>
        <w:t xml:space="preserve">¿Por qué no usan Markowitz si tiene mayor Sharpe? </w:t>
      </w:r>
      <w:r>
        <w:rPr>
          <w:i w:val="0"/>
        </w:rPr>
        <w:t>Porque ese Sharpe es dentro de muestra. En la prueba fuera de muestra (calibrar con 2013-2019 y evaluar 2020-2026), Markowitz cae a 0,45, mientras que Black-Litterman calibrado con la misma información logra 0,65.</w:t>
      </w:r>
    </w:p>
    <w:p>
      <w:r>
        <w:rPr>
          <w:b/>
        </w:rPr>
        <w:t xml:space="preserve">¿El modelo que presentan es el mismo que operan en StockTrak? </w:t>
      </w:r>
      <w:r>
        <w:rPr>
          <w:i w:val="0"/>
        </w:rPr>
        <w:t>Sí. Los pesos implementados son los de Black-Litterman y las reglas de las estrategias son las mismas del backtest. Las desviaciones discrecionales están documentadas en la sección 5 con fecha y motivo.</w:t>
      </w:r>
    </w:p>
    <w:p>
      <w:pPr>
        <w:pStyle w:val="Heading1"/>
      </w:pPr>
      <w:r>
        <w:t>Anexo C. Reproducibilidad</w:t>
      </w:r>
    </w:p>
    <w:p>
      <w:pPr>
        <w:pStyle w:val="ListBullet"/>
      </w:pPr>
      <w:r>
        <w:t>codigo/config.py: todos los parámetros. codigo/estrategias.py: backtests. codigo/portafolio.py: Markowitz, Black-Litterman, benchmark y métricas.</w:t>
      </w:r>
    </w:p>
    <w:p>
      <w:pPr>
        <w:pStyle w:val="ListBullet"/>
      </w:pPr>
      <w:r>
        <w:t>codigo/objetivos.py: flujos y TIR. codigo/montecarlo.py: simulación. codigo/validacion.py: robustez y walk-forward.</w:t>
      </w:r>
    </w:p>
    <w:p>
      <w:pPr>
        <w:pStyle w:val="ListBullet"/>
      </w:pPr>
      <w:r>
        <w:t>codigo/run_all.py corre todo; codigo/excel_modelo.py genera el Excel; codigo/figuras.py e informe.py, este documento; codigo/senales.py, las señales de operación.</w:t>
      </w:r>
    </w:p>
    <w:p>
      <w:pPr>
        <w:pStyle w:val="ListBullet"/>
      </w:pPr>
      <w:r>
        <w:t>codigo/analisis_adicional.py: benchmark por clase de activo, resultado en vivo por clase, forward USD/CLP, bandas de rebalanceo y activos adicionales (resultados/analisis_adicional.xlsx).</w:t>
      </w:r>
    </w:p>
    <w:p>
      <w:pPr>
        <w:pStyle w:val="ListBullet"/>
      </w:pPr>
      <w:r>
        <w:t>La versión portada de los backtests reproduce exactamente los resultados del modelo anterior (diferencia máxima 10⁻¹⁶) antes de aplicar las correcciones.</w:t>
      </w:r>
    </w:p>
    <w:p>
      <w:pPr>
        <w:pStyle w:val="Heading1"/>
      </w:pPr>
      <w:r>
        <w:t>Anexo D. Cuestionario de Grable y Lytton (1999)</w:t>
      </w:r>
    </w:p>
    <w:p>
      <w:r>
        <w:rPr>
          <w:i w:val="0"/>
        </w:rPr>
        <w:t>Respuestas obtenidas con inteligencia artificial a partir del perfil del cliente del enunciado, con autorización del profesor (los clientes son ficticios). Cada pregunta asigna de 1 a 4 puntos; el total va de 13 a 47.</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567"/>
            <w:shd w:val="clear" w:color="auto" w:fill="1F3A5F"/>
          </w:tcPr>
          <w:p>
            <w:r/>
            <w:r>
              <w:rPr>
                <w:b/>
                <w:color w:val="FFFFFF"/>
                <w:sz w:val="17"/>
              </w:rPr>
              <w:t>N°</w:t>
            </w:r>
          </w:p>
        </w:tc>
        <w:tc>
          <w:tcPr>
            <w:tcW w:type="dxa" w:w="3685"/>
            <w:shd w:val="clear" w:color="auto" w:fill="1F3A5F"/>
          </w:tcPr>
          <w:p>
            <w:r/>
            <w:r>
              <w:rPr>
                <w:b/>
                <w:color w:val="FFFFFF"/>
                <w:sz w:val="17"/>
              </w:rPr>
              <w:t>Pregunta (resumen)</w:t>
            </w:r>
          </w:p>
        </w:tc>
        <w:tc>
          <w:tcPr>
            <w:tcW w:type="dxa" w:w="3969"/>
            <w:shd w:val="clear" w:color="auto" w:fill="1F3A5F"/>
          </w:tcPr>
          <w:p>
            <w:r/>
            <w:r>
              <w:rPr>
                <w:b/>
                <w:color w:val="FFFFFF"/>
                <w:sz w:val="17"/>
              </w:rPr>
              <w:t>Respuesta</w:t>
            </w:r>
          </w:p>
        </w:tc>
        <w:tc>
          <w:tcPr>
            <w:tcW w:type="dxa" w:w="850"/>
            <w:shd w:val="clear" w:color="auto" w:fill="1F3A5F"/>
          </w:tcPr>
          <w:p>
            <w:r/>
            <w:r>
              <w:rPr>
                <w:b/>
                <w:color w:val="FFFFFF"/>
                <w:sz w:val="17"/>
              </w:rPr>
              <w:t>Puntos</w:t>
            </w:r>
          </w:p>
        </w:tc>
      </w:tr>
      <w:tr>
        <w:tc>
          <w:tcPr>
            <w:tcW w:type="dxa" w:w="567"/>
          </w:tcPr>
          <w:p>
            <w:r/>
            <w:r>
              <w:rPr>
                <w:sz w:val="17"/>
              </w:rPr>
              <w:t>1</w:t>
            </w:r>
          </w:p>
        </w:tc>
        <w:tc>
          <w:tcPr>
            <w:tcW w:type="dxa" w:w="3685"/>
          </w:tcPr>
          <w:p>
            <w:r/>
            <w:r>
              <w:rPr>
                <w:sz w:val="17"/>
              </w:rPr>
              <w:t>¿Cómo lo describiría su mejor amigo frente al riesgo?</w:t>
            </w:r>
          </w:p>
        </w:tc>
        <w:tc>
          <w:tcPr>
            <w:tcW w:type="dxa" w:w="3969"/>
          </w:tcPr>
          <w:p>
            <w:r/>
            <w:r>
              <w:rPr>
                <w:sz w:val="17"/>
              </w:rPr>
              <w:t>Dispuesto a tomar riesgos después de investigar</w:t>
            </w:r>
          </w:p>
        </w:tc>
        <w:tc>
          <w:tcPr>
            <w:tcW w:type="dxa" w:w="850"/>
          </w:tcPr>
          <w:p>
            <w:r/>
            <w:r>
              <w:rPr>
                <w:sz w:val="17"/>
              </w:rPr>
              <w:t>3</w:t>
            </w:r>
          </w:p>
        </w:tc>
      </w:tr>
      <w:tr>
        <w:tc>
          <w:tcPr>
            <w:tcW w:type="dxa" w:w="567"/>
            <w:shd w:val="clear" w:color="auto" w:fill="F2F5F9"/>
          </w:tcPr>
          <w:p>
            <w:r/>
            <w:r>
              <w:rPr>
                <w:sz w:val="17"/>
              </w:rPr>
              <w:t>2</w:t>
            </w:r>
          </w:p>
        </w:tc>
        <w:tc>
          <w:tcPr>
            <w:tcW w:type="dxa" w:w="3685"/>
            <w:shd w:val="clear" w:color="auto" w:fill="F2F5F9"/>
          </w:tcPr>
          <w:p>
            <w:r/>
            <w:r>
              <w:rPr>
                <w:sz w:val="17"/>
              </w:rPr>
              <w:t>Concurso de televisión: ¿qué premio elige?</w:t>
            </w:r>
          </w:p>
        </w:tc>
        <w:tc>
          <w:tcPr>
            <w:tcW w:type="dxa" w:w="3969"/>
            <w:shd w:val="clear" w:color="auto" w:fill="F2F5F9"/>
          </w:tcPr>
          <w:p>
            <w:r/>
            <w:r>
              <w:rPr>
                <w:sz w:val="17"/>
              </w:rPr>
              <w:t>50% de probabilidad de ganar USD 5.000</w:t>
            </w:r>
          </w:p>
        </w:tc>
        <w:tc>
          <w:tcPr>
            <w:tcW w:type="dxa" w:w="850"/>
            <w:shd w:val="clear" w:color="auto" w:fill="F2F5F9"/>
          </w:tcPr>
          <w:p>
            <w:r/>
            <w:r>
              <w:rPr>
                <w:sz w:val="17"/>
              </w:rPr>
              <w:t>2</w:t>
            </w:r>
          </w:p>
        </w:tc>
      </w:tr>
      <w:tr>
        <w:tc>
          <w:tcPr>
            <w:tcW w:type="dxa" w:w="567"/>
          </w:tcPr>
          <w:p>
            <w:r/>
            <w:r>
              <w:rPr>
                <w:sz w:val="17"/>
              </w:rPr>
              <w:t>3</w:t>
            </w:r>
          </w:p>
        </w:tc>
        <w:tc>
          <w:tcPr>
            <w:tcW w:type="dxa" w:w="3685"/>
          </w:tcPr>
          <w:p>
            <w:r/>
            <w:r>
              <w:rPr>
                <w:sz w:val="17"/>
              </w:rPr>
              <w:t>Pierde el trabajo tres semanas antes de unas vacaciones soñadas</w:t>
            </w:r>
          </w:p>
        </w:tc>
        <w:tc>
          <w:tcPr>
            <w:tcW w:type="dxa" w:w="3969"/>
          </w:tcPr>
          <w:p>
            <w:r/>
            <w:r>
              <w:rPr>
                <w:sz w:val="17"/>
              </w:rPr>
              <w:t>Toma unas vacaciones mucho más modestas</w:t>
            </w:r>
          </w:p>
        </w:tc>
        <w:tc>
          <w:tcPr>
            <w:tcW w:type="dxa" w:w="850"/>
          </w:tcPr>
          <w:p>
            <w:r/>
            <w:r>
              <w:rPr>
                <w:sz w:val="17"/>
              </w:rPr>
              <w:t>2</w:t>
            </w:r>
          </w:p>
        </w:tc>
      </w:tr>
      <w:tr>
        <w:tc>
          <w:tcPr>
            <w:tcW w:type="dxa" w:w="567"/>
            <w:shd w:val="clear" w:color="auto" w:fill="F2F5F9"/>
          </w:tcPr>
          <w:p>
            <w:r/>
            <w:r>
              <w:rPr>
                <w:sz w:val="17"/>
              </w:rPr>
              <w:t>4</w:t>
            </w:r>
          </w:p>
        </w:tc>
        <w:tc>
          <w:tcPr>
            <w:tcW w:type="dxa" w:w="3685"/>
            <w:shd w:val="clear" w:color="auto" w:fill="F2F5F9"/>
          </w:tcPr>
          <w:p>
            <w:r/>
            <w:r>
              <w:rPr>
                <w:sz w:val="17"/>
              </w:rPr>
              <w:t>Recibe USD 20.000 inesperados para invertir</w:t>
            </w:r>
          </w:p>
        </w:tc>
        <w:tc>
          <w:tcPr>
            <w:tcW w:type="dxa" w:w="3969"/>
            <w:shd w:val="clear" w:color="auto" w:fill="F2F5F9"/>
          </w:tcPr>
          <w:p>
            <w:r/>
            <w:r>
              <w:rPr>
                <w:sz w:val="17"/>
              </w:rPr>
              <w:t>Acciones o fondos de acciones</w:t>
            </w:r>
          </w:p>
        </w:tc>
        <w:tc>
          <w:tcPr>
            <w:tcW w:type="dxa" w:w="850"/>
            <w:shd w:val="clear" w:color="auto" w:fill="F2F5F9"/>
          </w:tcPr>
          <w:p>
            <w:r/>
            <w:r>
              <w:rPr>
                <w:sz w:val="17"/>
              </w:rPr>
              <w:t>3</w:t>
            </w:r>
          </w:p>
        </w:tc>
      </w:tr>
      <w:tr>
        <w:tc>
          <w:tcPr>
            <w:tcW w:type="dxa" w:w="567"/>
          </w:tcPr>
          <w:p>
            <w:r/>
            <w:r>
              <w:rPr>
                <w:sz w:val="17"/>
              </w:rPr>
              <w:t>5</w:t>
            </w:r>
          </w:p>
        </w:tc>
        <w:tc>
          <w:tcPr>
            <w:tcW w:type="dxa" w:w="3685"/>
          </w:tcPr>
          <w:p>
            <w:r/>
            <w:r>
              <w:rPr>
                <w:sz w:val="17"/>
              </w:rPr>
              <w:t>¿Qué tan cómodo se siente invirtiendo en acciones?</w:t>
            </w:r>
          </w:p>
        </w:tc>
        <w:tc>
          <w:tcPr>
            <w:tcW w:type="dxa" w:w="3969"/>
          </w:tcPr>
          <w:p>
            <w:r/>
            <w:r>
              <w:rPr>
                <w:sz w:val="17"/>
              </w:rPr>
              <w:t>Algo cómodo</w:t>
            </w:r>
          </w:p>
        </w:tc>
        <w:tc>
          <w:tcPr>
            <w:tcW w:type="dxa" w:w="850"/>
          </w:tcPr>
          <w:p>
            <w:r/>
            <w:r>
              <w:rPr>
                <w:sz w:val="17"/>
              </w:rPr>
              <w:t>2</w:t>
            </w:r>
          </w:p>
        </w:tc>
      </w:tr>
      <w:tr>
        <w:tc>
          <w:tcPr>
            <w:tcW w:type="dxa" w:w="567"/>
            <w:shd w:val="clear" w:color="auto" w:fill="F2F5F9"/>
          </w:tcPr>
          <w:p>
            <w:r/>
            <w:r>
              <w:rPr>
                <w:sz w:val="17"/>
              </w:rPr>
              <w:t>6</w:t>
            </w:r>
          </w:p>
        </w:tc>
        <w:tc>
          <w:tcPr>
            <w:tcW w:type="dxa" w:w="3685"/>
            <w:shd w:val="clear" w:color="auto" w:fill="F2F5F9"/>
          </w:tcPr>
          <w:p>
            <w:r/>
            <w:r>
              <w:rPr>
                <w:sz w:val="17"/>
              </w:rPr>
              <w:t>¿Qué palabra asocia primero con "riesgo"?</w:t>
            </w:r>
          </w:p>
        </w:tc>
        <w:tc>
          <w:tcPr>
            <w:tcW w:type="dxa" w:w="3969"/>
            <w:shd w:val="clear" w:color="auto" w:fill="F2F5F9"/>
          </w:tcPr>
          <w:p>
            <w:r/>
            <w:r>
              <w:rPr>
                <w:sz w:val="17"/>
              </w:rPr>
              <w:t>Oportunidad</w:t>
            </w:r>
          </w:p>
        </w:tc>
        <w:tc>
          <w:tcPr>
            <w:tcW w:type="dxa" w:w="850"/>
            <w:shd w:val="clear" w:color="auto" w:fill="F2F5F9"/>
          </w:tcPr>
          <w:p>
            <w:r/>
            <w:r>
              <w:rPr>
                <w:sz w:val="17"/>
              </w:rPr>
              <w:t>3</w:t>
            </w:r>
          </w:p>
        </w:tc>
      </w:tr>
      <w:tr>
        <w:tc>
          <w:tcPr>
            <w:tcW w:type="dxa" w:w="567"/>
          </w:tcPr>
          <w:p>
            <w:r/>
            <w:r>
              <w:rPr>
                <w:sz w:val="17"/>
              </w:rPr>
              <w:t>7</w:t>
            </w:r>
          </w:p>
        </w:tc>
        <w:tc>
          <w:tcPr>
            <w:tcW w:type="dxa" w:w="3685"/>
          </w:tcPr>
          <w:p>
            <w:r/>
            <w:r>
              <w:rPr>
                <w:sz w:val="17"/>
              </w:rPr>
              <w:t>Se espera que suban los activos reales y caigan los bonos; usted tiene bonos</w:t>
            </w:r>
          </w:p>
        </w:tc>
        <w:tc>
          <w:tcPr>
            <w:tcW w:type="dxa" w:w="3969"/>
          </w:tcPr>
          <w:p>
            <w:r/>
            <w:r>
              <w:rPr>
                <w:sz w:val="17"/>
              </w:rPr>
              <w:t>Vende los bonos: mitad a money market y mitad a activos reales</w:t>
            </w:r>
          </w:p>
        </w:tc>
        <w:tc>
          <w:tcPr>
            <w:tcW w:type="dxa" w:w="850"/>
          </w:tcPr>
          <w:p>
            <w:r/>
            <w:r>
              <w:rPr>
                <w:sz w:val="17"/>
              </w:rPr>
              <w:t>2</w:t>
            </w:r>
          </w:p>
        </w:tc>
      </w:tr>
      <w:tr>
        <w:tc>
          <w:tcPr>
            <w:tcW w:type="dxa" w:w="567"/>
            <w:shd w:val="clear" w:color="auto" w:fill="F2F5F9"/>
          </w:tcPr>
          <w:p>
            <w:r/>
            <w:r>
              <w:rPr>
                <w:sz w:val="17"/>
              </w:rPr>
              <w:t>8</w:t>
            </w:r>
          </w:p>
        </w:tc>
        <w:tc>
          <w:tcPr>
            <w:tcW w:type="dxa" w:w="3685"/>
            <w:shd w:val="clear" w:color="auto" w:fill="F2F5F9"/>
          </w:tcPr>
          <w:p>
            <w:r/>
            <w:r>
              <w:rPr>
                <w:sz w:val="17"/>
              </w:rPr>
              <w:t>Elija entre cuatro inversiones según su mejor y peor resultado</w:t>
            </w:r>
          </w:p>
        </w:tc>
        <w:tc>
          <w:tcPr>
            <w:tcW w:type="dxa" w:w="3969"/>
            <w:shd w:val="clear" w:color="auto" w:fill="F2F5F9"/>
          </w:tcPr>
          <w:p>
            <w:r/>
            <w:r>
              <w:rPr>
                <w:sz w:val="17"/>
              </w:rPr>
              <w:t>Ganancia de USD 2.600 en el mejor caso; pérdida de USD 800 en el peor</w:t>
            </w:r>
          </w:p>
        </w:tc>
        <w:tc>
          <w:tcPr>
            <w:tcW w:type="dxa" w:w="850"/>
            <w:shd w:val="clear" w:color="auto" w:fill="F2F5F9"/>
          </w:tcPr>
          <w:p>
            <w:r/>
            <w:r>
              <w:rPr>
                <w:sz w:val="17"/>
              </w:rPr>
              <w:t>3</w:t>
            </w:r>
          </w:p>
        </w:tc>
      </w:tr>
      <w:tr>
        <w:tc>
          <w:tcPr>
            <w:tcW w:type="dxa" w:w="567"/>
          </w:tcPr>
          <w:p>
            <w:r/>
            <w:r>
              <w:rPr>
                <w:sz w:val="17"/>
              </w:rPr>
              <w:t>9</w:t>
            </w:r>
          </w:p>
        </w:tc>
        <w:tc>
          <w:tcPr>
            <w:tcW w:type="dxa" w:w="3685"/>
          </w:tcPr>
          <w:p>
            <w:r/>
            <w:r>
              <w:rPr>
                <w:sz w:val="17"/>
              </w:rPr>
              <w:t>Le dan USD 1.000: ¿ganancia segura o apuesta?</w:t>
            </w:r>
          </w:p>
        </w:tc>
        <w:tc>
          <w:tcPr>
            <w:tcW w:type="dxa" w:w="3969"/>
          </w:tcPr>
          <w:p>
            <w:r/>
            <w:r>
              <w:rPr>
                <w:sz w:val="17"/>
              </w:rPr>
              <w:t>Ganancia segura de USD 500</w:t>
            </w:r>
          </w:p>
        </w:tc>
        <w:tc>
          <w:tcPr>
            <w:tcW w:type="dxa" w:w="850"/>
          </w:tcPr>
          <w:p>
            <w:r/>
            <w:r>
              <w:rPr>
                <w:sz w:val="17"/>
              </w:rPr>
              <w:t>1</w:t>
            </w:r>
          </w:p>
        </w:tc>
      </w:tr>
      <w:tr>
        <w:tc>
          <w:tcPr>
            <w:tcW w:type="dxa" w:w="567"/>
            <w:shd w:val="clear" w:color="auto" w:fill="F2F5F9"/>
          </w:tcPr>
          <w:p>
            <w:r/>
            <w:r>
              <w:rPr>
                <w:sz w:val="17"/>
              </w:rPr>
              <w:t>10</w:t>
            </w:r>
          </w:p>
        </w:tc>
        <w:tc>
          <w:tcPr>
            <w:tcW w:type="dxa" w:w="3685"/>
            <w:shd w:val="clear" w:color="auto" w:fill="F2F5F9"/>
          </w:tcPr>
          <w:p>
            <w:r/>
            <w:r>
              <w:rPr>
                <w:sz w:val="17"/>
              </w:rPr>
              <w:t>Le dan USD 2.000: ¿pérdida segura o apuesta?</w:t>
            </w:r>
          </w:p>
        </w:tc>
        <w:tc>
          <w:tcPr>
            <w:tcW w:type="dxa" w:w="3969"/>
            <w:shd w:val="clear" w:color="auto" w:fill="F2F5F9"/>
          </w:tcPr>
          <w:p>
            <w:r/>
            <w:r>
              <w:rPr>
                <w:sz w:val="17"/>
              </w:rPr>
              <w:t>50% de perder USD 1.000 y 50% de no perder nada</w:t>
            </w:r>
          </w:p>
        </w:tc>
        <w:tc>
          <w:tcPr>
            <w:tcW w:type="dxa" w:w="850"/>
            <w:shd w:val="clear" w:color="auto" w:fill="F2F5F9"/>
          </w:tcPr>
          <w:p>
            <w:r/>
            <w:r>
              <w:rPr>
                <w:sz w:val="17"/>
              </w:rPr>
              <w:t>3</w:t>
            </w:r>
          </w:p>
        </w:tc>
      </w:tr>
      <w:tr>
        <w:tc>
          <w:tcPr>
            <w:tcW w:type="dxa" w:w="567"/>
          </w:tcPr>
          <w:p>
            <w:r/>
            <w:r>
              <w:rPr>
                <w:sz w:val="17"/>
              </w:rPr>
              <w:t>11</w:t>
            </w:r>
          </w:p>
        </w:tc>
        <w:tc>
          <w:tcPr>
            <w:tcW w:type="dxa" w:w="3685"/>
          </w:tcPr>
          <w:p>
            <w:r/>
            <w:r>
              <w:rPr>
                <w:sz w:val="17"/>
              </w:rPr>
              <w:t>Hereda USD 100.000 y debe ponerlos en una sola alternativa</w:t>
            </w:r>
          </w:p>
        </w:tc>
        <w:tc>
          <w:tcPr>
            <w:tcW w:type="dxa" w:w="3969"/>
          </w:tcPr>
          <w:p>
            <w:r/>
            <w:r>
              <w:rPr>
                <w:sz w:val="17"/>
              </w:rPr>
              <w:t>Fondo mutuo de acciones y bonos</w:t>
            </w:r>
          </w:p>
        </w:tc>
        <w:tc>
          <w:tcPr>
            <w:tcW w:type="dxa" w:w="850"/>
          </w:tcPr>
          <w:p>
            <w:r/>
            <w:r>
              <w:rPr>
                <w:sz w:val="17"/>
              </w:rPr>
              <w:t>2</w:t>
            </w:r>
          </w:p>
        </w:tc>
      </w:tr>
      <w:tr>
        <w:tc>
          <w:tcPr>
            <w:tcW w:type="dxa" w:w="567"/>
            <w:shd w:val="clear" w:color="auto" w:fill="F2F5F9"/>
          </w:tcPr>
          <w:p>
            <w:r/>
            <w:r>
              <w:rPr>
                <w:sz w:val="17"/>
              </w:rPr>
              <w:t>12</w:t>
            </w:r>
          </w:p>
        </w:tc>
        <w:tc>
          <w:tcPr>
            <w:tcW w:type="dxa" w:w="3685"/>
            <w:shd w:val="clear" w:color="auto" w:fill="F2F5F9"/>
          </w:tcPr>
          <w:p>
            <w:r/>
            <w:r>
              <w:rPr>
                <w:sz w:val="17"/>
              </w:rPr>
              <w:t>¿Cómo invertiría USD 20.000?</w:t>
            </w:r>
          </w:p>
        </w:tc>
        <w:tc>
          <w:tcPr>
            <w:tcW w:type="dxa" w:w="3969"/>
            <w:shd w:val="clear" w:color="auto" w:fill="F2F5F9"/>
          </w:tcPr>
          <w:p>
            <w:r/>
            <w:r>
              <w:rPr>
                <w:sz w:val="17"/>
              </w:rPr>
              <w:t>30% bajo riesgo, 40% riesgo medio y 30% alto riesgo</w:t>
            </w:r>
          </w:p>
        </w:tc>
        <w:tc>
          <w:tcPr>
            <w:tcW w:type="dxa" w:w="850"/>
            <w:shd w:val="clear" w:color="auto" w:fill="F2F5F9"/>
          </w:tcPr>
          <w:p>
            <w:r/>
            <w:r>
              <w:rPr>
                <w:sz w:val="17"/>
              </w:rPr>
              <w:t>2</w:t>
            </w:r>
          </w:p>
        </w:tc>
      </w:tr>
      <w:tr>
        <w:tc>
          <w:tcPr>
            <w:tcW w:type="dxa" w:w="567"/>
          </w:tcPr>
          <w:p>
            <w:r/>
            <w:r>
              <w:rPr>
                <w:sz w:val="17"/>
              </w:rPr>
              <w:t>13</w:t>
            </w:r>
          </w:p>
        </w:tc>
        <w:tc>
          <w:tcPr>
            <w:tcW w:type="dxa" w:w="3685"/>
          </w:tcPr>
          <w:p>
            <w:r/>
            <w:r>
              <w:rPr>
                <w:sz w:val="17"/>
              </w:rPr>
              <w:t>Mina de oro con 20% de éxito que paga 50 a 100 veces</w:t>
            </w:r>
          </w:p>
        </w:tc>
        <w:tc>
          <w:tcPr>
            <w:tcW w:type="dxa" w:w="3969"/>
          </w:tcPr>
          <w:p>
            <w:r/>
            <w:r>
              <w:rPr>
                <w:sz w:val="17"/>
              </w:rPr>
              <w:t>Un mes de sueldo</w:t>
            </w:r>
          </w:p>
        </w:tc>
        <w:tc>
          <w:tcPr>
            <w:tcW w:type="dxa" w:w="850"/>
          </w:tcPr>
          <w:p>
            <w:r/>
            <w:r>
              <w:rPr>
                <w:sz w:val="17"/>
              </w:rPr>
              <w:t>2</w:t>
            </w:r>
          </w:p>
        </w:tc>
      </w:tr>
      <w:tr>
        <w:tc>
          <w:tcPr>
            <w:tcW w:type="dxa" w:w="567"/>
            <w:shd w:val="clear" w:color="auto" w:fill="F2F5F9"/>
          </w:tcPr>
          <w:p>
            <w:r/>
            <w:r>
              <w:rPr>
                <w:sz w:val="17"/>
              </w:rPr>
            </w:r>
          </w:p>
        </w:tc>
        <w:tc>
          <w:tcPr>
            <w:tcW w:type="dxa" w:w="3685"/>
            <w:shd w:val="clear" w:color="auto" w:fill="F2F5F9"/>
          </w:tcPr>
          <w:p>
            <w:r/>
            <w:r>
              <w:rPr>
                <w:sz w:val="17"/>
              </w:rPr>
              <w:t>Total</w:t>
            </w:r>
          </w:p>
        </w:tc>
        <w:tc>
          <w:tcPr>
            <w:tcW w:type="dxa" w:w="3969"/>
            <w:shd w:val="clear" w:color="auto" w:fill="F2F5F9"/>
          </w:tcPr>
          <w:p>
            <w:r/>
            <w:r>
              <w:rPr>
                <w:sz w:val="17"/>
              </w:rPr>
            </w:r>
          </w:p>
        </w:tc>
        <w:tc>
          <w:tcPr>
            <w:tcW w:type="dxa" w:w="850"/>
            <w:shd w:val="clear" w:color="auto" w:fill="F2F5F9"/>
          </w:tcPr>
          <w:p>
            <w:r/>
            <w:r>
              <w:rPr>
                <w:sz w:val="17"/>
              </w:rPr>
              <w:t>30</w:t>
            </w:r>
          </w:p>
        </w:tc>
      </w:tr>
    </w:tbl>
    <w:p/>
    <w:sectPr w:rsidR="00FC693F" w:rsidRPr="0006063C"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3A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