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6-oct-2026)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488</w:t>
            </w:r>
          </w:p>
        </w:tc>
        <w:tc>
          <w:tcPr>
            <w:tcW w:type="dxa" w:w="1020"/>
          </w:tcPr>
          <w:p>
            <w:r/>
            <w:r>
              <w:rPr>
                <w:sz w:val="15"/>
              </w:rPr>
              <w:t>0,56%</w:t>
            </w:r>
          </w:p>
        </w:tc>
        <w:tc>
          <w:tcPr>
            <w:tcW w:type="dxa" w:w="1814"/>
          </w:tcPr>
          <w:p>
            <w:r/>
            <w:r>
              <w:rPr>
                <w:sz w:val="15"/>
              </w:rPr>
              <w:t>S&amp;P 500 (SPY)</w:t>
            </w:r>
          </w:p>
        </w:tc>
        <w:tc>
          <w:tcPr>
            <w:tcW w:type="dxa" w:w="1020"/>
          </w:tcPr>
          <w:p>
            <w:r/>
            <w:r>
              <w:rPr>
                <w:sz w:val="15"/>
              </w:rPr>
              <w:t>2,49%</w:t>
            </w:r>
          </w:p>
        </w:tc>
        <w:tc>
          <w:tcPr>
            <w:tcW w:type="dxa" w:w="907"/>
          </w:tcPr>
          <w:p>
            <w:r/>
            <w:r>
              <w:rPr>
                <w:sz w:val="15"/>
              </w:rPr>
              <w:t>-1,93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-1.505</w:t>
            </w:r>
          </w:p>
        </w:tc>
        <w:tc>
          <w:tcPr>
            <w:tcW w:type="dxa" w:w="1020"/>
            <w:shd w:val="clear" w:color="auto" w:fill="F2F5F9"/>
          </w:tcPr>
          <w:p>
            <w:r/>
            <w:r>
              <w:rPr>
                <w:sz w:val="15"/>
              </w:rPr>
              <w:t>-3,33%</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-3,27%</w:t>
            </w:r>
          </w:p>
        </w:tc>
        <w:tc>
          <w:tcPr>
            <w:tcW w:type="dxa" w:w="907"/>
            <w:shd w:val="clear" w:color="auto" w:fill="F2F5F9"/>
          </w:tcPr>
          <w:p>
            <w:r/>
            <w:r>
              <w:rPr>
                <w:sz w:val="15"/>
              </w:rPr>
              <w:t>-0,06 pp</w:t>
            </w:r>
          </w:p>
        </w:tc>
      </w:tr>
      <w:tr>
        <w:tc>
          <w:tcPr>
            <w:tcW w:type="dxa" w:w="1928"/>
          </w:tcPr>
          <w:p>
            <w:r/>
            <w:r>
              <w:rPr>
                <w:sz w:val="15"/>
              </w:rPr>
              <w:t>Commodities</w:t>
            </w:r>
          </w:p>
        </w:tc>
        <w:tc>
          <w:tcPr>
            <w:tcW w:type="dxa" w:w="1361"/>
          </w:tcPr>
          <w:p>
            <w:r/>
            <w:r>
              <w:rPr>
                <w:sz w:val="15"/>
              </w:rPr>
              <w:t>USD 8.706</w:t>
            </w:r>
          </w:p>
        </w:tc>
        <w:tc>
          <w:tcPr>
            <w:tcW w:type="dxa" w:w="1134"/>
          </w:tcPr>
          <w:p>
            <w:r/>
            <w:r>
              <w:rPr>
                <w:sz w:val="15"/>
              </w:rPr>
              <w:t>-707</w:t>
            </w:r>
          </w:p>
        </w:tc>
        <w:tc>
          <w:tcPr>
            <w:tcW w:type="dxa" w:w="1020"/>
          </w:tcPr>
          <w:p>
            <w:r/>
            <w:r>
              <w:rPr>
                <w:sz w:val="15"/>
              </w:rPr>
              <w:t>-8,12%</w:t>
            </w:r>
          </w:p>
        </w:tc>
        <w:tc>
          <w:tcPr>
            <w:tcW w:type="dxa" w:w="1814"/>
          </w:tcPr>
          <w:p>
            <w:r/>
            <w:r>
              <w:rPr>
                <w:sz w:val="15"/>
              </w:rPr>
              <w:t>Bloomberg Commodity Index TR (DJP)</w:t>
            </w:r>
          </w:p>
        </w:tc>
        <w:tc>
          <w:tcPr>
            <w:tcW w:type="dxa" w:w="1020"/>
          </w:tcPr>
          <w:p>
            <w:r/>
            <w:r>
              <w:rPr>
                <w:sz w:val="15"/>
              </w:rPr>
              <w:t>-1,33%</w:t>
            </w:r>
          </w:p>
        </w:tc>
        <w:tc>
          <w:tcPr>
            <w:tcW w:type="dxa" w:w="907"/>
          </w:tcPr>
          <w:p>
            <w:r/>
            <w:r>
              <w:rPr>
                <w:sz w:val="15"/>
              </w:rPr>
              <w:t>-6,78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6</w:t>
            </w:r>
          </w:p>
        </w:tc>
        <w:tc>
          <w:tcPr>
            <w:tcW w:type="dxa" w:w="1020"/>
            <w:shd w:val="clear" w:color="auto" w:fill="F2F5F9"/>
          </w:tcPr>
          <w:p>
            <w:r/>
            <w:r>
              <w:rPr>
                <w:sz w:val="15"/>
              </w:rPr>
              <w:t>0,09%</w:t>
            </w:r>
          </w:p>
        </w:tc>
        <w:tc>
          <w:tcPr>
            <w:tcW w:type="dxa" w:w="1814"/>
            <w:shd w:val="clear" w:color="auto" w:fill="F2F5F9"/>
          </w:tcPr>
          <w:p>
            <w:r/>
            <w:r>
              <w:rPr>
                <w:sz w:val="15"/>
              </w:rPr>
              <w:t>T-Bills 0-3 meses (SGOV)</w:t>
            </w:r>
          </w:p>
        </w:tc>
        <w:tc>
          <w:tcPr>
            <w:tcW w:type="dxa" w:w="1020"/>
            <w:shd w:val="clear" w:color="auto" w:fill="F2F5F9"/>
          </w:tcPr>
          <w:p>
            <w:r/>
            <w:r>
              <w:rPr>
                <w:sz w:val="15"/>
              </w:rPr>
              <w:t>0,23%</w:t>
            </w:r>
          </w:p>
        </w:tc>
        <w:tc>
          <w:tcPr>
            <w:tcW w:type="dxa" w:w="907"/>
            <w:shd w:val="clear" w:color="auto" w:fill="F2F5F9"/>
          </w:tcPr>
          <w:p>
            <w:r/>
            <w:r>
              <w:rPr>
                <w:sz w:val="15"/>
              </w:rPr>
              <w:t>-0,14 pp</w:t>
            </w:r>
          </w:p>
        </w:tc>
      </w:tr>
    </w:tbl>
    <w:p>
      <w:r>
        <w:rPr>
          <w:i/>
          <w:sz w:val="16"/>
        </w:rPr>
        <w:t>Desde el 14-sep hasta el 6-oct (exports de StockTrak).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1,9 puntos bajo el S&amp;P 500, en parte por las comisiones (48 operaciones, USD 480) y en parte por el sesgo defensivo de Low-Volatility en un mercado al alza; commodities queda 6,8 puntos bajo su benchmark por la pérdida en USO, ya liquidado.</w:t>
      </w:r>
    </w:p>
    <w:p>
      <w:pPr>
        <w:pStyle w:val="Heading3"/>
      </w:pPr>
      <w:r>
        <w:t>Por qué la cartera no rindió como esperábamos</w:t>
      </w:r>
    </w:p>
    <w:p>
      <w:r>
        <w:rPr>
          <w:i w:val="0"/>
        </w:rPr>
        <w:t>Entre el 14-sep y el 6-oct la cartera perdió USD 1.718 (-1,15% sobre el capital), mientras el S&amp;P 500 subió 2,5%.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-1.505</w:t>
            </w:r>
          </w:p>
        </w:tc>
        <w:tc>
          <w:tcPr>
            <w:tcW w:type="dxa" w:w="5329"/>
          </w:tcPr>
          <w:p>
            <w:r/>
            <w:r>
              <w:rPr>
                <w:sz w:val="16"/>
              </w:rPr>
              <w:t>La tasa a 10 años subió hasta 5,3%, su nivel más alto desde 2002, y los bonos cayeron 3,3%,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-707</w:t>
            </w:r>
          </w:p>
        </w:tc>
        <w:tc>
          <w:tcPr>
            <w:tcW w:type="dxa" w:w="5329"/>
            <w:shd w:val="clear" w:color="auto" w:fill="F2F5F9"/>
          </w:tcPr>
          <w:p>
            <w:r/>
            <w:r>
              <w:rPr>
                <w:sz w:val="16"/>
              </w:rPr>
              <w:t>USO cayó con el petróleo y se vendió el 2-oct; el sleeve perdió 8,1% frente a 1,3% de DJP</w:t>
            </w:r>
          </w:p>
        </w:tc>
      </w:tr>
      <w:tr>
        <w:tc>
          <w:tcPr>
            <w:tcW w:type="dxa" w:w="2381"/>
          </w:tcPr>
          <w:p>
            <w:r/>
            <w:r>
              <w:rPr>
                <w:sz w:val="16"/>
              </w:rPr>
              <w:t>Acciones (~62%)</w:t>
            </w:r>
          </w:p>
        </w:tc>
        <w:tc>
          <w:tcPr>
            <w:tcW w:type="dxa" w:w="1361"/>
          </w:tcPr>
          <w:p>
            <w:r/>
            <w:r>
              <w:rPr>
                <w:sz w:val="16"/>
              </w:rPr>
              <w:t>488</w:t>
            </w:r>
          </w:p>
        </w:tc>
        <w:tc>
          <w:tcPr>
            <w:tcW w:type="dxa" w:w="5329"/>
          </w:tcPr>
          <w:p>
            <w:r/>
            <w:r>
              <w:rPr>
                <w:sz w:val="16"/>
              </w:rPr>
              <w:t>Ganaron 0,6%, menos que el S&amp;P 500: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6</w:t>
            </w:r>
          </w:p>
        </w:tc>
        <w:tc>
          <w:tcPr>
            <w:tcW w:type="dxa" w:w="5329"/>
            <w:shd w:val="clear" w:color="auto" w:fill="F2F5F9"/>
          </w:tcPr>
          <w:p>
            <w:r/>
            <w:r>
              <w:rPr>
                <w:sz w:val="16"/>
              </w:rPr>
              <w:t>Rinde como las letras del Tesoro</w:t>
            </w:r>
          </w:p>
        </w:tc>
      </w:tr>
    </w:tbl>
    <w:p>
      <w:r>
        <w:rPr>
          <w:i/>
          <w:sz w:val="16"/>
        </w:rPr>
        <w:t>Los bloques suman USD -1.718, igual que StockTrak. Incluyen dividendos y comisiones (55 operaciones, USD 550); sin comisiones, la cartera iría -0,8%.</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