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2,0% (objetivo 3%, máximo 4%) e information ratio 0,18 frente al benchmark de política en 2016-2026.</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9,5%</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11,0%</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0,69</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0,59</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-21,4%</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4,4%</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2,0%</w:t>
            </w:r>
          </w:p>
        </w:tc>
        <w:tc>
          <w:tcPr>
            <w:tcW w:type="dxa" w:w="1531"/>
          </w:tcPr>
          <w:p>
            <w:r/>
            <w:r>
              <w:rPr>
                <w:sz w:val="17"/>
              </w:rPr>
              <w:t>0,0%</w:t>
            </w:r>
          </w:p>
        </w:tc>
        <w:tc>
          <w:tcPr>
            <w:tcW w:type="dxa" w:w="1531"/>
          </w:tcPr>
          <w:p>
            <w:r/>
            <w:r>
              <w:rPr>
                <w:sz w:val="17"/>
              </w:rPr>
              <w:t>4,2%</w:t>
            </w:r>
          </w:p>
        </w:tc>
        <w:tc>
          <w:tcPr>
            <w:tcW w:type="dxa" w:w="1531"/>
          </w:tcPr>
          <w:p>
            <w:r/>
            <w:r>
              <w:rPr>
                <w:sz w:val="17"/>
              </w:rPr>
              <w:t>6,2%</w:t>
            </w:r>
          </w:p>
        </w:tc>
      </w:tr>
      <w:tr>
        <w:tc>
          <w:tcPr>
            <w:tcW w:type="dxa" w:w="2835"/>
            <w:shd w:val="clear" w:color="auto" w:fill="F2F5F9"/>
          </w:tcPr>
          <w:p>
            <w:r/>
            <w:r>
              <w:rPr>
                <w:sz w:val="17"/>
              </w:rPr>
              <w:t>Information ratio</w:t>
            </w:r>
          </w:p>
        </w:tc>
        <w:tc>
          <w:tcPr>
            <w:tcW w:type="dxa" w:w="1531"/>
            <w:shd w:val="clear" w:color="auto" w:fill="F2F5F9"/>
          </w:tcPr>
          <w:p>
            <w:r/>
            <w:r>
              <w:rPr>
                <w:sz w:val="17"/>
              </w:rPr>
              <w:t>0,18</w:t>
            </w:r>
          </w:p>
        </w:tc>
        <w:tc>
          <w:tcPr>
            <w:tcW w:type="dxa" w:w="1531"/>
            <w:shd w:val="clear" w:color="auto" w:fill="F2F5F9"/>
          </w:tcPr>
          <w:p>
            <w:r/>
            <w:r>
              <w:rPr>
                <w:sz w:val="17"/>
              </w:rPr>
              <w:t>—</w:t>
            </w:r>
          </w:p>
        </w:tc>
        <w:tc>
          <w:tcPr>
            <w:tcW w:type="dxa" w:w="1531"/>
            <w:shd w:val="clear" w:color="auto" w:fill="F2F5F9"/>
          </w:tcPr>
          <w:p>
            <w:r/>
            <w:r>
              <w:rPr>
                <w:sz w:val="17"/>
              </w:rPr>
              <w:t>0,75</w:t>
            </w:r>
          </w:p>
        </w:tc>
        <w:tc>
          <w:tcPr>
            <w:tcW w:type="dxa" w:w="1531"/>
            <w:shd w:val="clear" w:color="auto" w:fill="F2F5F9"/>
          </w:tcPr>
          <w:p>
            <w:r/>
            <w:r>
              <w:rPr>
                <w:sz w:val="17"/>
              </w:rPr>
              <w:t>0,90</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720000"/>
            <wp:docPr id="3" name="Picture 3"/>
            <wp:cNvGraphicFramePr>
              <a:graphicFrameLocks noChangeAspect="1"/>
            </wp:cNvGraphicFramePr>
            <a:graphic>
              <a:graphicData uri="http://schemas.openxmlformats.org/drawingml/2006/picture">
                <pic:pic>
                  <pic:nvPicPr>
                    <pic:cNvPr id="0" name="f1_crecimiento.png"/>
                    <pic:cNvPicPr/>
                  </pic:nvPicPr>
                  <pic:blipFill>
                    <a:blip r:embed="rId11"/>
                    <a:stretch>
                      <a:fillRect/>
                    </a:stretch>
                  </pic:blipFill>
                  <pic:spPr>
                    <a:xfrm>
                      <a:off x="0" y="0"/>
                      <a:ext cx="5760000" cy="2720000"/>
                    </a:xfrm>
                    <a:prstGeom prst="rect"/>
                  </pic:spPr>
                </pic:pic>
              </a:graphicData>
            </a:graphic>
          </wp:inline>
        </w:drawing>
      </w:r>
    </w:p>
    <w:p>
      <w:pPr>
        <w:jc w:val="center"/>
      </w:pPr>
      <w:r>
        <w:rPr>
          <w:i/>
          <w:sz w:val="16"/>
        </w:rPr>
        <w:t>Figura 3.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4" name="Picture 4"/>
            <wp:cNvGraphicFramePr>
              <a:graphicFrameLocks noChangeAspect="1"/>
            </wp:cNvGraphicFramePr>
            <a:graphic>
              <a:graphicData uri="http://schemas.openxmlformats.org/drawingml/2006/picture">
                <pic:pic>
                  <pic:nvPicPr>
                    <pic:cNvPr id="0" name="f2_caidas.png"/>
                    <pic:cNvPicPr/>
                  </pic:nvPicPr>
                  <pic:blipFill>
                    <a:blip r:embed="rId12"/>
                    <a:stretch>
                      <a:fillRect/>
                    </a:stretch>
                  </pic:blipFill>
                  <pic:spPr>
                    <a:xfrm>
                      <a:off x="0" y="0"/>
                      <a:ext cx="5760000" cy="2080000"/>
                    </a:xfrm>
                    <a:prstGeom prst="rect"/>
                  </pic:spPr>
                </pic:pic>
              </a:graphicData>
            </a:graphic>
          </wp:inline>
        </w:drawing>
      </w:r>
    </w:p>
    <w:p>
      <w:pPr>
        <w:jc w:val="center"/>
      </w:pPr>
      <w:r>
        <w:rPr>
          <w:i/>
          <w:sz w:val="16"/>
        </w:rPr>
        <w:t>Figura 4.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bl>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Mezcla 5 ETF</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17,5%</w:t>
            </w:r>
          </w:p>
        </w:tc>
        <w:tc>
          <w:tcPr>
            <w:tcW w:type="dxa" w:w="737"/>
          </w:tcPr>
          <w:p>
            <w:r/>
            <w:r>
              <w:rPr>
                <w:sz w:val="16"/>
              </w:rPr>
              <w:t>-0,04</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pPr>
        <w:pStyle w:val="Heading2"/>
      </w:pPr>
      <w:r>
        <w:t>3.4 Moneda funcional: USD, con simulaciones en UF</w:t>
      </w:r>
    </w:p>
    <w:p>
      <w:r>
        <w:rPr>
          <w:i w:val="0"/>
        </w:rPr>
        <w:t>La moneda funcional es el USD porque todo el universo de inversión cotiza en dólares y cubrir el tipo de cambio exigiría derivados que el perfil excluye. Las necesidades del cliente (UF/CLP) se evalúan explícitamente: el Montecarlo se presenta también en UF.</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Mezcla igual ponderada GLD/USO/DBA/SLV/CPER</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2,0% (2016-2026) y 2,4% en los últimos 36 meses, dentro del objetivo; el information ratio realizado es 0,18.</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5" name="Picture 5"/>
            <wp:cNvGraphicFramePr>
              <a:graphicFrameLocks noChangeAspect="1"/>
            </wp:cNvGraphicFramePr>
            <a:graphic>
              <a:graphicData uri="http://schemas.openxmlformats.org/drawingml/2006/picture">
                <pic:pic>
                  <pic:nvPicPr>
                    <pic:cNvPr id="0" name="f4_montecarlo.png"/>
                    <pic:cNvPicPr/>
                  </pic:nvPicPr>
                  <pic:blipFill>
                    <a:blip r:embed="rId13"/>
                    <a:stretch>
                      <a:fillRect/>
                    </a:stretch>
                  </pic:blipFill>
                  <pic:spPr>
                    <a:xfrm>
                      <a:off x="0" y="0"/>
                      <a:ext cx="5760000" cy="2560000"/>
                    </a:xfrm>
                    <a:prstGeom prst="rect"/>
                  </pic:spPr>
                </pic:pic>
              </a:graphicData>
            </a:graphic>
          </wp:inline>
        </w:drawing>
      </w:r>
    </w:p>
    <w:p>
      <w:pPr>
        <w:jc w:val="center"/>
      </w:pPr>
      <w:r>
        <w:rPr>
          <w:i/>
          <w:sz w:val="16"/>
        </w:rPr>
        <w:t>Figura 5.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6" name="Picture 6"/>
            <wp:cNvGraphicFramePr>
              <a:graphicFrameLocks noChangeAspect="1"/>
            </wp:cNvGraphicFramePr>
            <a:graphic>
              <a:graphicData uri="http://schemas.openxmlformats.org/drawingml/2006/picture">
                <pic:pic>
                  <pic:nvPicPr>
                    <pic:cNvPr id="0" name="f6_robustez.png"/>
                    <pic:cNvPicPr/>
                  </pic:nvPicPr>
                  <pic:blipFill>
                    <a:blip r:embed="rId14"/>
                    <a:stretch>
                      <a:fillRect/>
                    </a:stretch>
                  </pic:blipFill>
                  <pic:spPr>
                    <a:xfrm>
                      <a:off x="0" y="0"/>
                      <a:ext cx="5760000" cy="2400000"/>
                    </a:xfrm>
                    <a:prstGeom prst="rect"/>
                  </pic:spPr>
                </pic:pic>
              </a:graphicData>
            </a:graphic>
          </wp:inline>
        </w:drawing>
      </w:r>
    </w:p>
    <w:p>
      <w:pPr>
        <w:jc w:val="center"/>
      </w:pPr>
      <w:r>
        <w:rPr>
          <w:i/>
          <w:sz w:val="16"/>
        </w:rPr>
        <w:t>Figura 6.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Cobertura natural (correlación negativa); simulaciones en UF; reserva cambiaria de 2%</w:t>
            </w:r>
          </w:p>
        </w:tc>
      </w:tr>
      <w:tr>
        <w:tc>
          <w:tcPr>
            <w:tcW w:type="dxa" w:w="2041"/>
            <w:shd w:val="clear" w:color="auto" w:fill="F2F5F9"/>
          </w:tcPr>
          <w:p>
            <w:r/>
            <w:r>
              <w:rPr>
                <w:sz w:val="17"/>
              </w:rPr>
              <w:t>Empleo de Tomás</w:t>
            </w:r>
          </w:p>
        </w:tc>
        <w:tc>
          <w:tcPr>
            <w:tcW w:type="dxa" w:w="3175"/>
            <w:shd w:val="clear" w:color="auto" w:fill="F2F5F9"/>
          </w:tcPr>
          <w:p>
            <w:r/>
            <w:r>
              <w:rPr>
                <w:sz w:val="17"/>
              </w:rPr>
              <w:t>Aportes condicionados a seguir empleado</w:t>
            </w:r>
          </w:p>
        </w:tc>
        <w:tc>
          <w:tcPr>
            <w:tcW w:type="dxa" w:w="3855"/>
            <w:shd w:val="clear" w:color="auto" w:fill="F2F5F9"/>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y cubrir el tipo de cambio requiere derivados que el perfil excluye. El peso se deprecia cuando caen los mercados (cobertura natural) y el ahorro en USD diversifica el riesgo país de una familia cuyo capital humano y vivienda están en Chile. Las simulaciones se presentan también en UF.</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