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Hiragino Sans GB" w:hAnsi="Hiragino Sans GB" w:eastAsia="Hiragino Sans GB"/>
          <w:b/>
          <w:color w:val="2E74B5"/>
          <w:sz w:val="18"/>
        </w:rPr>
        <w:t>WEEKLY FIRE SAFETY / 管理层版</w:t>
      </w:r>
    </w:p>
    <w:p>
      <w:pPr>
        <w:spacing w:after="80"/>
      </w:pPr>
      <w:r>
        <w:rPr>
          <w:rFonts w:ascii="Hiragino Sans GB" w:hAnsi="Hiragino Sans GB" w:eastAsia="Hiragino Sans GB"/>
          <w:b/>
          <w:color w:val="111827"/>
          <w:sz w:val="48"/>
        </w:rPr>
        <w:t>消防安全周报</w:t>
      </w:r>
    </w:p>
    <w:p>
      <w:pPr>
        <w:spacing w:after="280"/>
      </w:pPr>
      <w:r>
        <w:rPr>
          <w:rFonts w:ascii="Hiragino Sans GB" w:hAnsi="Hiragino Sans GB" w:eastAsia="Hiragino Sans GB"/>
          <w:b w:val="0"/>
          <w:color w:val="374151"/>
          <w:sz w:val="26"/>
        </w:rPr>
        <w:t>2026-08-17 至 2026-08-23</w:t>
      </w:r>
    </w:p>
    <w:p>
      <w:pPr>
        <w:spacing w:after="40"/>
      </w:pPr>
      <w:r>
        <w:rPr>
          <w:rFonts w:ascii="Hiragino Sans GB" w:hAnsi="Hiragino Sans GB" w:eastAsia="Hiragino Sans GB"/>
          <w:b/>
          <w:color w:val="1F2937"/>
          <w:sz w:val="21"/>
        </w:rPr>
        <w:t>适用范围：</w:t>
      </w:r>
      <w:r>
        <w:rPr>
          <w:rFonts w:ascii="Hiragino Sans GB" w:hAnsi="Hiragino Sans GB" w:eastAsia="Hiragino Sans GB"/>
          <w:b w:val="0"/>
          <w:color w:val="1F2937"/>
          <w:sz w:val="21"/>
        </w:rPr>
        <w:t>星澜新能源汽车工厂（虚构名称）</w:t>
      </w:r>
    </w:p>
    <w:p>
      <w:pPr>
        <w:spacing w:after="40"/>
      </w:pPr>
      <w:r>
        <w:rPr>
          <w:rFonts w:ascii="Hiragino Sans GB" w:hAnsi="Hiragino Sans GB" w:eastAsia="Hiragino Sans GB"/>
          <w:b/>
          <w:color w:val="1F2937"/>
          <w:sz w:val="21"/>
        </w:rPr>
        <w:t>统计口径：</w:t>
      </w:r>
      <w:r>
        <w:rPr>
          <w:rFonts w:ascii="Hiragino Sans GB" w:hAnsi="Hiragino Sans GB" w:eastAsia="Hiragino Sans GB"/>
          <w:b w:val="0"/>
          <w:color w:val="1F2937"/>
          <w:sz w:val="21"/>
        </w:rPr>
        <w:t>报警台账、维保工单、巡查隐患与 ERT 记录</w:t>
      </w:r>
    </w:p>
    <w:p>
      <w:pPr>
        <w:spacing w:after="40"/>
      </w:pPr>
      <w:r>
        <w:rPr>
          <w:rFonts w:ascii="Hiragino Sans GB" w:hAnsi="Hiragino Sans GB" w:eastAsia="Hiragino Sans GB"/>
          <w:b/>
          <w:color w:val="1F2937"/>
          <w:sz w:val="21"/>
        </w:rPr>
        <w:t>数据属性：</w:t>
      </w:r>
      <w:r>
        <w:rPr>
          <w:rFonts w:ascii="Hiragino Sans GB" w:hAnsi="Hiragino Sans GB" w:eastAsia="Hiragino Sans GB"/>
          <w:b w:val="0"/>
          <w:color w:val="1F2937"/>
          <w:sz w:val="21"/>
        </w:rPr>
        <w:t>全部为合成演示数据，不含历史 Excel 原始行或真实统计结果</w:t>
      </w:r>
    </w:p>
    <w:p>
      <w:pPr>
        <w:spacing w:before="100" w:after="200" w:line="276" w:lineRule="auto"/>
        <w:ind w:left="115" w:right="115"/>
        <w:shd w:fill="F4F6F9"/>
        <w:pBdr>
          <w:left w:val="single" w:sz="18" w:space="8" w:color="9B1C1C"/>
        </w:pBdr>
      </w:pPr>
      <w:r>
        <w:rPr>
          <w:rFonts w:ascii="Hiragino Sans GB" w:hAnsi="Hiragino Sans GB" w:eastAsia="Hiragino Sans GB"/>
          <w:b/>
          <w:color w:val="9B1C1C"/>
          <w:sz w:val="20"/>
        </w:rPr>
        <w:t xml:space="preserve">管理提示  </w:t>
      </w:r>
      <w:r>
        <w:rPr>
          <w:rFonts w:ascii="Hiragino Sans GB" w:hAnsi="Hiragino Sans GB" w:eastAsia="Hiragino Sans GB"/>
          <w:b w:val="0"/>
          <w:color w:val="111827"/>
          <w:sz w:val="20"/>
        </w:rPr>
        <w:t>本周有 2 项巡查隐患尚未复查关闭、1 张维保工单待验收；误报占已归档报警的 2/3，应优先复核重复误报点位。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80" w:after="40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9B1C1C"/>
                <w:sz w:val="40"/>
              </w:rPr>
              <w:t>3</w:t>
            </w:r>
          </w:p>
          <w:p>
            <w:pPr>
              <w:spacing w:after="20"/>
              <w:jc w:val="center"/>
            </w:pPr>
            <w:r>
              <w:rPr>
                <w:rFonts w:ascii="Hiragino Sans GB" w:hAnsi="Hiragino Sans GB" w:eastAsia="Hiragino Sans GB"/>
                <w:b/>
                <w:color w:val="1F4D78"/>
                <w:sz w:val="19"/>
              </w:rPr>
              <w:t>本周报警</w:t>
            </w:r>
          </w:p>
          <w:p>
            <w:pPr>
              <w:spacing w:after="80"/>
              <w:jc w:val="center"/>
            </w:pPr>
            <w:r>
              <w:rPr>
                <w:rFonts w:ascii="Hiragino Sans GB" w:hAnsi="Hiragino Sans GB" w:eastAsia="Hiragino Sans GB"/>
                <w:b w:val="0"/>
                <w:color w:val="64748B"/>
                <w:sz w:val="17"/>
              </w:rPr>
              <w:t>确认 1 · 误报 2</w:t>
            </w:r>
          </w:p>
        </w:tc>
        <w:tc>
          <w:tcPr>
            <w:tcW w:type="dxa" w:w="234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80" w:after="40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6E52E5"/>
                <w:sz w:val="40"/>
              </w:rPr>
              <w:t>4</w:t>
            </w:r>
          </w:p>
          <w:p>
            <w:pPr>
              <w:spacing w:after="20"/>
              <w:jc w:val="center"/>
            </w:pPr>
            <w:r>
              <w:rPr>
                <w:rFonts w:ascii="Hiragino Sans GB" w:hAnsi="Hiragino Sans GB" w:eastAsia="Hiragino Sans GB"/>
                <w:b/>
                <w:color w:val="1F4D78"/>
                <w:sz w:val="19"/>
              </w:rPr>
              <w:t>巡查发现</w:t>
            </w:r>
          </w:p>
          <w:p>
            <w:pPr>
              <w:spacing w:after="80"/>
              <w:jc w:val="center"/>
            </w:pPr>
            <w:r>
              <w:rPr>
                <w:rFonts w:ascii="Hiragino Sans GB" w:hAnsi="Hiragino Sans GB" w:eastAsia="Hiragino Sans GB"/>
                <w:b w:val="0"/>
                <w:color w:val="64748B"/>
                <w:sz w:val="17"/>
              </w:rPr>
              <w:t>重复隐患 1</w:t>
            </w:r>
          </w:p>
        </w:tc>
        <w:tc>
          <w:tcPr>
            <w:tcW w:type="dxa" w:w="234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80" w:after="40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138A5B"/>
                <w:sz w:val="40"/>
              </w:rPr>
              <w:t>50%</w:t>
            </w:r>
          </w:p>
          <w:p>
            <w:pPr>
              <w:spacing w:after="20"/>
              <w:jc w:val="center"/>
            </w:pPr>
            <w:r>
              <w:rPr>
                <w:rFonts w:ascii="Hiragino Sans GB" w:hAnsi="Hiragino Sans GB" w:eastAsia="Hiragino Sans GB"/>
                <w:b/>
                <w:color w:val="1F4D78"/>
                <w:sz w:val="19"/>
              </w:rPr>
              <w:t>整改闭环率</w:t>
            </w:r>
          </w:p>
          <w:p>
            <w:pPr>
              <w:spacing w:after="80"/>
              <w:jc w:val="center"/>
            </w:pPr>
            <w:r>
              <w:rPr>
                <w:rFonts w:ascii="Hiragino Sans GB" w:hAnsi="Hiragino Sans GB" w:eastAsia="Hiragino Sans GB"/>
                <w:b w:val="0"/>
                <w:color w:val="64748B"/>
                <w:sz w:val="17"/>
              </w:rPr>
              <w:t>2/4 已复查关闭</w:t>
            </w:r>
          </w:p>
        </w:tc>
        <w:tc>
          <w:tcPr>
            <w:tcW w:type="dxa" w:w="234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80" w:after="40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B7791F"/>
                <w:sz w:val="40"/>
              </w:rPr>
              <w:t>50%</w:t>
            </w:r>
          </w:p>
          <w:p>
            <w:pPr>
              <w:spacing w:after="20"/>
              <w:jc w:val="center"/>
            </w:pPr>
            <w:r>
              <w:rPr>
                <w:rFonts w:ascii="Hiragino Sans GB" w:hAnsi="Hiragino Sans GB" w:eastAsia="Hiragino Sans GB"/>
                <w:b/>
                <w:color w:val="1F4D78"/>
                <w:sz w:val="19"/>
              </w:rPr>
              <w:t>维保闭环率</w:t>
            </w:r>
          </w:p>
          <w:p>
            <w:pPr>
              <w:spacing w:after="80"/>
              <w:jc w:val="center"/>
            </w:pPr>
            <w:r>
              <w:rPr>
                <w:rFonts w:ascii="Hiragino Sans GB" w:hAnsi="Hiragino Sans GB" w:eastAsia="Hiragino Sans GB"/>
                <w:b w:val="0"/>
                <w:color w:val="64748B"/>
                <w:sz w:val="17"/>
              </w:rPr>
              <w:t>1/2 已验收关闭</w:t>
            </w:r>
          </w:p>
        </w:tc>
      </w:tr>
    </w:tbl>
    <w:p>
      <w:pPr>
        <w:pStyle w:val="Heading1"/>
      </w:pPr>
      <w:r>
        <w:rPr>
          <w:rFonts w:ascii="Hiragino Sans GB" w:hAnsi="Hiragino Sans GB" w:eastAsia="Hiragino Sans GB"/>
          <w:b/>
          <w:color w:val="2E74B5"/>
          <w:sz w:val="32"/>
        </w:rPr>
        <w:t>一、本周接处警概况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16567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arm-tren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6567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Hiragino Sans GB" w:hAnsi="Hiragino Sans GB" w:eastAsia="Hiragino Sans GB"/>
          <w:b w:val="0"/>
          <w:color w:val="64748B"/>
          <w:sz w:val="17"/>
        </w:rPr>
        <w:t>图 1  每日监测信号与误报趋势。监测信号共 5 次，其中 3 条形成归档报警记录。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2800"/>
        <w:gridCol w:w="4460"/>
      </w:tblGrid>
      <w:tr>
        <w:tc>
          <w:tcPr>
            <w:tcW w:type="dxa" w:w="2100"/>
            <w:shd w:fill="F2F4F7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1F4D78"/>
                <w:sz w:val="19"/>
              </w:rPr>
              <w:t>指标</w:t>
            </w:r>
          </w:p>
        </w:tc>
        <w:tc>
          <w:tcPr>
            <w:tcW w:type="dxa" w:w="2800"/>
            <w:shd w:fill="F2F4F7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1F4D78"/>
                <w:sz w:val="19"/>
              </w:rPr>
              <w:t>结果</w:t>
            </w:r>
          </w:p>
        </w:tc>
        <w:tc>
          <w:tcPr>
            <w:tcW w:type="dxa" w:w="4460"/>
            <w:shd w:fill="F2F4F7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1F4D78"/>
                <w:sz w:val="19"/>
              </w:rPr>
              <w:t>管理解读</w:t>
            </w:r>
          </w:p>
        </w:tc>
      </w:tr>
      <w:tr>
        <w:tc>
          <w:tcPr>
            <w:tcW w:type="dxa" w:w="21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归档报警</w:t>
            </w:r>
          </w:p>
        </w:tc>
        <w:tc>
          <w:tcPr>
            <w:tcW w:type="dxa" w:w="28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3 起</w:t>
            </w:r>
          </w:p>
        </w:tc>
        <w:tc>
          <w:tcPr>
            <w:tcW w:type="dxa" w:w="446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确认火警 1 起、误报 2 起</w:t>
            </w:r>
          </w:p>
        </w:tc>
      </w:tr>
      <w:tr>
        <w:tc>
          <w:tcPr>
            <w:tcW w:type="dxa" w:w="21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监测信号</w:t>
            </w:r>
          </w:p>
        </w:tc>
        <w:tc>
          <w:tcPr>
            <w:tcW w:type="dxa" w:w="28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5 次</w:t>
            </w:r>
          </w:p>
        </w:tc>
        <w:tc>
          <w:tcPr>
            <w:tcW w:type="dxa" w:w="446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趋势图按信号接收口径统计，与归档报警口径分开</w:t>
            </w:r>
          </w:p>
        </w:tc>
      </w:tr>
      <w:tr>
        <w:tc>
          <w:tcPr>
            <w:tcW w:type="dxa" w:w="21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接警到闭环</w:t>
            </w:r>
          </w:p>
        </w:tc>
        <w:tc>
          <w:tcPr>
            <w:tcW w:type="dxa" w:w="28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P50 30 分钟；P90 148 分钟；n=3</w:t>
            </w:r>
          </w:p>
        </w:tc>
        <w:tc>
          <w:tcPr>
            <w:tcW w:type="dxa" w:w="446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样本量较小，仅用于展示统计方法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rPr>
          <w:rFonts w:ascii="Hiragino Sans GB" w:hAnsi="Hiragino Sans GB" w:eastAsia="Hiragino Sans GB"/>
          <w:b/>
          <w:color w:val="2E74B5"/>
          <w:sz w:val="32"/>
        </w:rPr>
        <w:t>二、隐患分布与车间闭环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21695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sk-and-clos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169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Hiragino Sans GB" w:hAnsi="Hiragino Sans GB" w:eastAsia="Hiragino Sans GB"/>
          <w:b w:val="0"/>
          <w:color w:val="64748B"/>
          <w:sz w:val="17"/>
        </w:rPr>
        <w:t>图 2  隐患类型与车间闭环情况。无新增隐患的车间不计入整改率分母。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300"/>
        <w:gridCol w:w="1300"/>
        <w:gridCol w:w="1300"/>
        <w:gridCol w:w="3560"/>
      </w:tblGrid>
      <w:tr>
        <w:tc>
          <w:tcPr>
            <w:tcW w:type="dxa" w:w="1900"/>
            <w:shd w:fill="F2F4F7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1F4D78"/>
                <w:sz w:val="19"/>
              </w:rPr>
              <w:t>车间</w:t>
            </w:r>
          </w:p>
        </w:tc>
        <w:tc>
          <w:tcPr>
            <w:tcW w:type="dxa" w:w="1300"/>
            <w:shd w:fill="F2F4F7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1F4D78"/>
                <w:sz w:val="19"/>
              </w:rPr>
              <w:t>新增隐患</w:t>
            </w:r>
          </w:p>
        </w:tc>
        <w:tc>
          <w:tcPr>
            <w:tcW w:type="dxa" w:w="1300"/>
            <w:shd w:fill="F2F4F7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1F4D78"/>
                <w:sz w:val="19"/>
              </w:rPr>
              <w:t>已闭环</w:t>
            </w:r>
          </w:p>
        </w:tc>
        <w:tc>
          <w:tcPr>
            <w:tcW w:type="dxa" w:w="1300"/>
            <w:shd w:fill="F2F4F7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1F4D78"/>
                <w:sz w:val="19"/>
              </w:rPr>
              <w:t>闭环率</w:t>
            </w:r>
          </w:p>
        </w:tc>
        <w:tc>
          <w:tcPr>
            <w:tcW w:type="dxa" w:w="3560"/>
            <w:shd w:fill="F2F4F7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1F4D78"/>
                <w:sz w:val="19"/>
              </w:rPr>
              <w:t>当前重点</w:t>
            </w:r>
          </w:p>
        </w:tc>
      </w:tr>
      <w:tr>
        <w:tc>
          <w:tcPr>
            <w:tcW w:type="dxa" w:w="19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冲压车间</w:t>
            </w:r>
          </w:p>
        </w:tc>
        <w:tc>
          <w:tcPr>
            <w:tcW w:type="dxa" w:w="13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1</w:t>
            </w:r>
          </w:p>
        </w:tc>
        <w:tc>
          <w:tcPr>
            <w:tcW w:type="dxa" w:w="13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1</w:t>
            </w:r>
          </w:p>
        </w:tc>
        <w:tc>
          <w:tcPr>
            <w:tcW w:type="dxa" w:w="13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100%</w:t>
            </w:r>
          </w:p>
        </w:tc>
        <w:tc>
          <w:tcPr>
            <w:tcW w:type="dxa" w:w="356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复查通过，已归档</w:t>
            </w:r>
          </w:p>
        </w:tc>
      </w:tr>
      <w:tr>
        <w:tc>
          <w:tcPr>
            <w:tcW w:type="dxa" w:w="19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电池车间</w:t>
            </w:r>
          </w:p>
        </w:tc>
        <w:tc>
          <w:tcPr>
            <w:tcW w:type="dxa" w:w="13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1</w:t>
            </w:r>
          </w:p>
        </w:tc>
        <w:tc>
          <w:tcPr>
            <w:tcW w:type="dxa" w:w="13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1</w:t>
            </w:r>
          </w:p>
        </w:tc>
        <w:tc>
          <w:tcPr>
            <w:tcW w:type="dxa" w:w="13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100%</w:t>
            </w:r>
          </w:p>
        </w:tc>
        <w:tc>
          <w:tcPr>
            <w:tcW w:type="dxa" w:w="356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消防设施问题已复查</w:t>
            </w:r>
          </w:p>
        </w:tc>
      </w:tr>
      <w:tr>
        <w:tc>
          <w:tcPr>
            <w:tcW w:type="dxa" w:w="19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涂装车间</w:t>
            </w:r>
          </w:p>
        </w:tc>
        <w:tc>
          <w:tcPr>
            <w:tcW w:type="dxa" w:w="13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1</w:t>
            </w:r>
          </w:p>
        </w:tc>
        <w:tc>
          <w:tcPr>
            <w:tcW w:type="dxa" w:w="13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0</w:t>
            </w:r>
          </w:p>
        </w:tc>
        <w:tc>
          <w:tcPr>
            <w:tcW w:type="dxa" w:w="13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0%</w:t>
            </w:r>
          </w:p>
        </w:tc>
        <w:tc>
          <w:tcPr>
            <w:tcW w:type="dxa" w:w="356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应急疏散问题待整改</w:t>
            </w:r>
          </w:p>
        </w:tc>
      </w:tr>
      <w:tr>
        <w:tc>
          <w:tcPr>
            <w:tcW w:type="dxa" w:w="19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总装车间</w:t>
            </w:r>
          </w:p>
        </w:tc>
        <w:tc>
          <w:tcPr>
            <w:tcW w:type="dxa" w:w="13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1</w:t>
            </w:r>
          </w:p>
        </w:tc>
        <w:tc>
          <w:tcPr>
            <w:tcW w:type="dxa" w:w="13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0</w:t>
            </w:r>
          </w:p>
        </w:tc>
        <w:tc>
          <w:tcPr>
            <w:tcW w:type="dxa" w:w="13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0%</w:t>
            </w:r>
          </w:p>
        </w:tc>
        <w:tc>
          <w:tcPr>
            <w:tcW w:type="dxa" w:w="356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建筑防火问题待整改</w:t>
            </w:r>
          </w:p>
        </w:tc>
      </w:tr>
      <w:tr>
        <w:tc>
          <w:tcPr>
            <w:tcW w:type="dxa" w:w="19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立体仓库</w:t>
            </w:r>
          </w:p>
        </w:tc>
        <w:tc>
          <w:tcPr>
            <w:tcW w:type="dxa" w:w="13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0</w:t>
            </w:r>
          </w:p>
        </w:tc>
        <w:tc>
          <w:tcPr>
            <w:tcW w:type="dxa" w:w="13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0</w:t>
            </w:r>
          </w:p>
        </w:tc>
        <w:tc>
          <w:tcPr>
            <w:tcW w:type="dxa" w:w="13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不适用</w:t>
            </w:r>
          </w:p>
        </w:tc>
        <w:tc>
          <w:tcPr>
            <w:tcW w:type="dxa" w:w="356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无新增巡查隐患；另有维保工单处理中</w:t>
            </w:r>
          </w:p>
        </w:tc>
      </w:tr>
    </w:tbl>
    <w:p>
      <w:pPr>
        <w:spacing w:after="20"/>
      </w:pPr>
    </w:p>
    <w:p>
      <w:pPr>
        <w:spacing w:before="100" w:after="200" w:line="276" w:lineRule="auto"/>
        <w:ind w:left="115" w:right="115"/>
        <w:shd w:fill="F4F6F9"/>
        <w:pBdr>
          <w:left w:val="single" w:sz="18" w:space="8" w:color="138A5B"/>
        </w:pBdr>
      </w:pPr>
      <w:r>
        <w:rPr>
          <w:rFonts w:ascii="Hiragino Sans GB" w:hAnsi="Hiragino Sans GB" w:eastAsia="Hiragino Sans GB"/>
          <w:b/>
          <w:color w:val="138A5B"/>
          <w:sz w:val="20"/>
        </w:rPr>
        <w:t xml:space="preserve">关闭规则  </w:t>
      </w:r>
      <w:r>
        <w:rPr>
          <w:rFonts w:ascii="Hiragino Sans GB" w:hAnsi="Hiragino Sans GB" w:eastAsia="Hiragino Sans GB"/>
          <w:b w:val="0"/>
          <w:color w:val="111827"/>
          <w:sz w:val="20"/>
        </w:rPr>
        <w:t>只有责任人提交整改照片、巡查人员复查通过，隐患才计为闭环；仅填写“已处理”不算关闭。</w:t>
      </w:r>
    </w:p>
    <w:p>
      <w:pPr>
        <w:pStyle w:val="Heading1"/>
      </w:pPr>
      <w:r>
        <w:rPr>
          <w:rFonts w:ascii="Hiragino Sans GB" w:hAnsi="Hiragino Sans GB" w:eastAsia="Hiragino Sans GB"/>
          <w:b/>
          <w:color w:val="2E74B5"/>
          <w:sz w:val="32"/>
        </w:rPr>
        <w:t>三、设施维保与运行覆盖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3000"/>
        <w:gridCol w:w="4060"/>
      </w:tblGrid>
      <w:tr>
        <w:tc>
          <w:tcPr>
            <w:tcW w:type="dxa" w:w="2300"/>
            <w:shd w:fill="F2F4F7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1F4D78"/>
                <w:sz w:val="19"/>
              </w:rPr>
              <w:t>管理维度</w:t>
            </w:r>
          </w:p>
        </w:tc>
        <w:tc>
          <w:tcPr>
            <w:tcW w:type="dxa" w:w="3000"/>
            <w:shd w:fill="F2F4F7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1F4D78"/>
                <w:sz w:val="19"/>
              </w:rPr>
              <w:t>本周记录</w:t>
            </w:r>
          </w:p>
        </w:tc>
        <w:tc>
          <w:tcPr>
            <w:tcW w:type="dxa" w:w="4060"/>
            <w:shd w:fill="F2F4F7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1F4D78"/>
                <w:sz w:val="19"/>
              </w:rPr>
              <w:t>状态 / 风险</w:t>
            </w:r>
          </w:p>
        </w:tc>
      </w:tr>
      <w:tr>
        <w:tc>
          <w:tcPr>
            <w:tcW w:type="dxa" w:w="23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消防系统中断</w:t>
            </w:r>
          </w:p>
        </w:tc>
        <w:tc>
          <w:tcPr>
            <w:tcW w:type="dxa" w:w="30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6 起；已闭环 5 起</w:t>
            </w:r>
          </w:p>
        </w:tc>
        <w:tc>
          <w:tcPr>
            <w:tcW w:type="dxa" w:w="406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1 起逾期，需设施部门跟进</w:t>
            </w:r>
          </w:p>
        </w:tc>
      </w:tr>
      <w:tr>
        <w:tc>
          <w:tcPr>
            <w:tcW w:type="dxa" w:w="23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动火作业监管</w:t>
            </w:r>
          </w:p>
        </w:tc>
        <w:tc>
          <w:tcPr>
            <w:tcW w:type="dxa" w:w="30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许可 18 项；监护 18 项</w:t>
            </w:r>
          </w:p>
        </w:tc>
        <w:tc>
          <w:tcPr>
            <w:tcW w:type="dxa" w:w="406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异常 1 项，需复查记录</w:t>
            </w:r>
          </w:p>
        </w:tc>
      </w:tr>
      <w:tr>
        <w:tc>
          <w:tcPr>
            <w:tcW w:type="dxa" w:w="23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每日防火巡查</w:t>
            </w:r>
          </w:p>
        </w:tc>
        <w:tc>
          <w:tcPr>
            <w:tcW w:type="dxa" w:w="30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计划 42 次；完成 40 次</w:t>
            </w:r>
          </w:p>
        </w:tc>
        <w:tc>
          <w:tcPr>
            <w:tcW w:type="dxa" w:w="406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完成率 95.2%；发现隐患 4 项</w:t>
            </w:r>
          </w:p>
        </w:tc>
      </w:tr>
      <w:tr>
        <w:tc>
          <w:tcPr>
            <w:tcW w:type="dxa" w:w="23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ERT 响应</w:t>
            </w:r>
          </w:p>
        </w:tc>
        <w:tc>
          <w:tcPr>
            <w:tcW w:type="dxa" w:w="30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触发 3 次；参与 5 次</w:t>
            </w:r>
          </w:p>
        </w:tc>
        <w:tc>
          <w:tcPr>
            <w:tcW w:type="dxa" w:w="406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2 次记录到场时间，1 次缺失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rPr>
          <w:rFonts w:ascii="Hiragino Sans GB" w:hAnsi="Hiragino Sans GB" w:eastAsia="Hiragino Sans GB"/>
          <w:b/>
          <w:color w:val="2E74B5"/>
          <w:sz w:val="32"/>
        </w:rPr>
        <w:t>四、闭环时效与数据质量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1300"/>
        <w:gridCol w:w="1300"/>
        <w:gridCol w:w="1300"/>
        <w:gridCol w:w="3460"/>
      </w:tblGrid>
      <w:tr>
        <w:tc>
          <w:tcPr>
            <w:tcW w:type="dxa" w:w="2000"/>
            <w:shd w:fill="F2F4F7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1F4D78"/>
                <w:sz w:val="19"/>
              </w:rPr>
              <w:t>流程</w:t>
            </w:r>
          </w:p>
        </w:tc>
        <w:tc>
          <w:tcPr>
            <w:tcW w:type="dxa" w:w="1300"/>
            <w:shd w:fill="F2F4F7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1F4D78"/>
                <w:sz w:val="19"/>
              </w:rPr>
              <w:t>P50</w:t>
            </w:r>
          </w:p>
        </w:tc>
        <w:tc>
          <w:tcPr>
            <w:tcW w:type="dxa" w:w="1300"/>
            <w:shd w:fill="F2F4F7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1F4D78"/>
                <w:sz w:val="19"/>
              </w:rPr>
              <w:t>P90</w:t>
            </w:r>
          </w:p>
        </w:tc>
        <w:tc>
          <w:tcPr>
            <w:tcW w:type="dxa" w:w="1300"/>
            <w:shd w:fill="F2F4F7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1F4D78"/>
                <w:sz w:val="19"/>
              </w:rPr>
              <w:t>有效样本</w:t>
            </w:r>
          </w:p>
        </w:tc>
        <w:tc>
          <w:tcPr>
            <w:tcW w:type="dxa" w:w="3460"/>
            <w:shd w:fill="F2F4F7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0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接警到闭环</w:t>
            </w:r>
          </w:p>
        </w:tc>
        <w:tc>
          <w:tcPr>
            <w:tcW w:type="dxa" w:w="13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30 分钟</w:t>
            </w:r>
          </w:p>
        </w:tc>
        <w:tc>
          <w:tcPr>
            <w:tcW w:type="dxa" w:w="13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148 分钟</w:t>
            </w:r>
          </w:p>
        </w:tc>
        <w:tc>
          <w:tcPr>
            <w:tcW w:type="dxa" w:w="13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n=3</w:t>
            </w:r>
          </w:p>
        </w:tc>
        <w:tc>
          <w:tcPr>
            <w:tcW w:type="dxa" w:w="346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按归档报警起止时间计算</w:t>
            </w:r>
          </w:p>
        </w:tc>
      </w:tr>
      <w:tr>
        <w:tc>
          <w:tcPr>
            <w:tcW w:type="dxa" w:w="20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维保工单关闭</w:t>
            </w:r>
          </w:p>
        </w:tc>
        <w:tc>
          <w:tcPr>
            <w:tcW w:type="dxa" w:w="13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24 小时</w:t>
            </w:r>
          </w:p>
        </w:tc>
        <w:tc>
          <w:tcPr>
            <w:tcW w:type="dxa" w:w="13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—</w:t>
            </w:r>
          </w:p>
        </w:tc>
        <w:tc>
          <w:tcPr>
            <w:tcW w:type="dxa" w:w="13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n=1</w:t>
            </w:r>
          </w:p>
        </w:tc>
        <w:tc>
          <w:tcPr>
            <w:tcW w:type="dxa" w:w="346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样本不足，不报告 P90</w:t>
            </w:r>
          </w:p>
        </w:tc>
      </w:tr>
      <w:tr>
        <w:tc>
          <w:tcPr>
            <w:tcW w:type="dxa" w:w="20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隐患整改关闭</w:t>
            </w:r>
          </w:p>
        </w:tc>
        <w:tc>
          <w:tcPr>
            <w:tcW w:type="dxa" w:w="13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48 小时</w:t>
            </w:r>
          </w:p>
        </w:tc>
        <w:tc>
          <w:tcPr>
            <w:tcW w:type="dxa" w:w="13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—</w:t>
            </w:r>
          </w:p>
        </w:tc>
        <w:tc>
          <w:tcPr>
            <w:tcW w:type="dxa" w:w="13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n=2</w:t>
            </w:r>
          </w:p>
        </w:tc>
        <w:tc>
          <w:tcPr>
            <w:tcW w:type="dxa" w:w="346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样本不足，不报告 P90</w:t>
            </w:r>
          </w:p>
        </w:tc>
      </w:tr>
    </w:tbl>
    <w:p>
      <w:pPr>
        <w:spacing w:after="20"/>
      </w:pPr>
    </w:p>
    <w:p>
      <w:pPr>
        <w:spacing w:before="100" w:after="200" w:line="276" w:lineRule="auto"/>
        <w:ind w:left="115" w:right="115"/>
        <w:shd w:fill="F4F6F9"/>
        <w:pBdr>
          <w:left w:val="single" w:sz="18" w:space="8" w:color="B7791F"/>
        </w:pBdr>
      </w:pPr>
      <w:r>
        <w:rPr>
          <w:rFonts w:ascii="Hiragino Sans GB" w:hAnsi="Hiragino Sans GB" w:eastAsia="Hiragino Sans GB"/>
          <w:b/>
          <w:color w:val="B7791F"/>
          <w:sz w:val="20"/>
        </w:rPr>
        <w:t xml:space="preserve">数据完整性  </w:t>
      </w:r>
      <w:r>
        <w:rPr>
          <w:rFonts w:ascii="Hiragino Sans GB" w:hAnsi="Hiragino Sans GB" w:eastAsia="Hiragino Sans GB"/>
          <w:b w:val="0"/>
          <w:color w:val="111827"/>
          <w:sz w:val="20"/>
        </w:rPr>
        <w:t>12 条业务记录中 9 条字段完整，完整率 75%；缺确认时间 2 条、缺到场时间 1 条。缺失端点不进入时效统计。</w:t>
      </w:r>
    </w:p>
    <w:p>
      <w:pPr>
        <w:pStyle w:val="Heading1"/>
      </w:pPr>
      <w:r>
        <w:rPr>
          <w:rFonts w:ascii="Hiragino Sans GB" w:hAnsi="Hiragino Sans GB" w:eastAsia="Hiragino Sans GB"/>
          <w:b/>
          <w:color w:val="2E74B5"/>
          <w:sz w:val="32"/>
        </w:rPr>
        <w:t>五、本周管理动作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2900"/>
        <w:gridCol w:w="2300"/>
        <w:gridCol w:w="2360"/>
        <w:gridCol w:w="800"/>
      </w:tblGrid>
      <w:tr>
        <w:tc>
          <w:tcPr>
            <w:tcW w:type="dxa" w:w="1000"/>
            <w:shd w:fill="F2F4F7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1F4D78"/>
                <w:sz w:val="19"/>
              </w:rPr>
              <w:t>优先级</w:t>
            </w:r>
          </w:p>
        </w:tc>
        <w:tc>
          <w:tcPr>
            <w:tcW w:type="dxa" w:w="2900"/>
            <w:shd w:fill="F2F4F7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1F4D78"/>
                <w:sz w:val="19"/>
              </w:rPr>
              <w:t>行动</w:t>
            </w:r>
          </w:p>
        </w:tc>
        <w:tc>
          <w:tcPr>
            <w:tcW w:type="dxa" w:w="2300"/>
            <w:shd w:fill="F2F4F7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1F4D78"/>
                <w:sz w:val="19"/>
              </w:rPr>
              <w:t>责任岗位</w:t>
            </w:r>
          </w:p>
        </w:tc>
        <w:tc>
          <w:tcPr>
            <w:tcW w:type="dxa" w:w="2360"/>
            <w:shd w:fill="F2F4F7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1F4D78"/>
                <w:sz w:val="19"/>
              </w:rPr>
              <w:t>验收标准</w:t>
            </w:r>
          </w:p>
        </w:tc>
        <w:tc>
          <w:tcPr>
            <w:tcW w:type="dxa" w:w="800"/>
            <w:shd w:fill="F2F4F7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1F4D78"/>
                <w:sz w:val="19"/>
              </w:rPr>
              <w:t>期限</w:t>
            </w:r>
          </w:p>
        </w:tc>
      </w:tr>
      <w:tr>
        <w:tc>
          <w:tcPr>
            <w:tcW w:type="dxa" w:w="10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P0</w:t>
            </w:r>
          </w:p>
        </w:tc>
        <w:tc>
          <w:tcPr>
            <w:tcW w:type="dxa" w:w="29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关闭涂装、总装两项巡查隐患</w:t>
            </w:r>
          </w:p>
        </w:tc>
        <w:tc>
          <w:tcPr>
            <w:tcW w:type="dxa" w:w="23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车间责任人 / 防火巡查</w:t>
            </w:r>
          </w:p>
        </w:tc>
        <w:tc>
          <w:tcPr>
            <w:tcW w:type="dxa" w:w="236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上传整改照片并复查通过</w:t>
            </w:r>
          </w:p>
        </w:tc>
        <w:tc>
          <w:tcPr>
            <w:tcW w:type="dxa" w:w="8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下周三前</w:t>
            </w:r>
          </w:p>
        </w:tc>
      </w:tr>
      <w:tr>
        <w:tc>
          <w:tcPr>
            <w:tcW w:type="dxa" w:w="10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P0</w:t>
            </w:r>
          </w:p>
        </w:tc>
        <w:tc>
          <w:tcPr>
            <w:tcW w:type="dxa" w:w="29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验收立体仓库 WO-002 维保工单</w:t>
            </w:r>
          </w:p>
        </w:tc>
        <w:tc>
          <w:tcPr>
            <w:tcW w:type="dxa" w:w="23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消防设施部门</w:t>
            </w:r>
          </w:p>
        </w:tc>
        <w:tc>
          <w:tcPr>
            <w:tcW w:type="dxa" w:w="236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测试记录、到场照片和验收结论齐全</w:t>
            </w:r>
          </w:p>
        </w:tc>
        <w:tc>
          <w:tcPr>
            <w:tcW w:type="dxa" w:w="8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24 小时内</w:t>
            </w:r>
          </w:p>
        </w:tc>
      </w:tr>
      <w:tr>
        <w:tc>
          <w:tcPr>
            <w:tcW w:type="dxa" w:w="10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P1</w:t>
            </w:r>
          </w:p>
        </w:tc>
        <w:tc>
          <w:tcPr>
            <w:tcW w:type="dxa" w:w="29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复核两起误报对应探测器</w:t>
            </w:r>
          </w:p>
        </w:tc>
        <w:tc>
          <w:tcPr>
            <w:tcW w:type="dxa" w:w="23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消防设施部门</w:t>
            </w:r>
          </w:p>
        </w:tc>
        <w:tc>
          <w:tcPr>
            <w:tcW w:type="dxa" w:w="236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形成点位校验与维修记录</w:t>
            </w:r>
          </w:p>
        </w:tc>
        <w:tc>
          <w:tcPr>
            <w:tcW w:type="dxa" w:w="8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本周内</w:t>
            </w:r>
          </w:p>
        </w:tc>
      </w:tr>
      <w:tr>
        <w:tc>
          <w:tcPr>
            <w:tcW w:type="dxa" w:w="10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P1</w:t>
            </w:r>
          </w:p>
        </w:tc>
        <w:tc>
          <w:tcPr>
            <w:tcW w:type="dxa" w:w="29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补齐 ERT 到场时间字段</w:t>
            </w:r>
          </w:p>
        </w:tc>
        <w:tc>
          <w:tcPr>
            <w:tcW w:type="dxa" w:w="23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消控室值班员</w:t>
            </w:r>
          </w:p>
        </w:tc>
        <w:tc>
          <w:tcPr>
            <w:tcW w:type="dxa" w:w="236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触发、签收、到场、反馈节点完整</w:t>
            </w:r>
          </w:p>
        </w:tc>
        <w:tc>
          <w:tcPr>
            <w:tcW w:type="dxa" w:w="8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下一次演练前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Hiragino Sans GB" w:hAnsi="Hiragino Sans GB" w:eastAsia="Hiragino Sans GB"/>
          <w:b/>
          <w:color w:val="2E74B5"/>
          <w:sz w:val="32"/>
        </w:rPr>
        <w:t>六、业务记录与证据索引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600"/>
        <w:gridCol w:w="1600"/>
        <w:gridCol w:w="4360"/>
      </w:tblGrid>
      <w:tr>
        <w:tc>
          <w:tcPr>
            <w:tcW w:type="dxa" w:w="1800"/>
            <w:shd w:fill="F2F4F7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1F4D78"/>
                <w:sz w:val="19"/>
              </w:rPr>
              <w:t>记录编号</w:t>
            </w:r>
          </w:p>
        </w:tc>
        <w:tc>
          <w:tcPr>
            <w:tcW w:type="dxa" w:w="1600"/>
            <w:shd w:fill="F2F4F7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1F4D78"/>
                <w:sz w:val="19"/>
              </w:rPr>
              <w:t>类型</w:t>
            </w:r>
          </w:p>
        </w:tc>
        <w:tc>
          <w:tcPr>
            <w:tcW w:type="dxa" w:w="1600"/>
            <w:shd w:fill="F2F4F7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1F4D78"/>
                <w:sz w:val="19"/>
              </w:rPr>
              <w:t>状态</w:t>
            </w:r>
          </w:p>
        </w:tc>
        <w:tc>
          <w:tcPr>
            <w:tcW w:type="dxa" w:w="4360"/>
            <w:shd w:fill="F2F4F7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1F4D78"/>
                <w:sz w:val="19"/>
              </w:rPr>
              <w:t>证据索引</w:t>
            </w:r>
          </w:p>
        </w:tc>
      </w:tr>
      <w:tr>
        <w:tc>
          <w:tcPr>
            <w:tcW w:type="dxa" w:w="18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ALM-0818-01</w:t>
            </w:r>
          </w:p>
        </w:tc>
        <w:tc>
          <w:tcPr>
            <w:tcW w:type="dxa" w:w="16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报警</w:t>
            </w:r>
          </w:p>
        </w:tc>
        <w:tc>
          <w:tcPr>
            <w:tcW w:type="dxa" w:w="16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closed</w:t>
            </w:r>
          </w:p>
        </w:tc>
        <w:tc>
          <w:tcPr>
            <w:tcW w:type="dxa" w:w="436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monitoring_events/FIRE-001、patrol_report/FIRE-001</w:t>
            </w:r>
          </w:p>
        </w:tc>
      </w:tr>
      <w:tr>
        <w:tc>
          <w:tcPr>
            <w:tcW w:type="dxa" w:w="18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ALM-0819-01</w:t>
            </w:r>
          </w:p>
        </w:tc>
        <w:tc>
          <w:tcPr>
            <w:tcW w:type="dxa" w:w="16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报警</w:t>
            </w:r>
          </w:p>
        </w:tc>
        <w:tc>
          <w:tcPr>
            <w:tcW w:type="dxa" w:w="16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closed</w:t>
            </w:r>
          </w:p>
        </w:tc>
        <w:tc>
          <w:tcPr>
            <w:tcW w:type="dxa" w:w="436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monitoring_events/FA-001、patrol_report/FA-001</w:t>
            </w:r>
          </w:p>
        </w:tc>
      </w:tr>
      <w:tr>
        <w:tc>
          <w:tcPr>
            <w:tcW w:type="dxa" w:w="18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ALM-0821-01</w:t>
            </w:r>
          </w:p>
        </w:tc>
        <w:tc>
          <w:tcPr>
            <w:tcW w:type="dxa" w:w="16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报警</w:t>
            </w:r>
          </w:p>
        </w:tc>
        <w:tc>
          <w:tcPr>
            <w:tcW w:type="dxa" w:w="16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closed</w:t>
            </w:r>
          </w:p>
        </w:tc>
        <w:tc>
          <w:tcPr>
            <w:tcW w:type="dxa" w:w="436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monitoring_events/FA-002、patrol_report/FA-002</w:t>
            </w:r>
          </w:p>
        </w:tc>
      </w:tr>
      <w:tr>
        <w:tc>
          <w:tcPr>
            <w:tcW w:type="dxa" w:w="18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WO-001</w:t>
            </w:r>
          </w:p>
        </w:tc>
        <w:tc>
          <w:tcPr>
            <w:tcW w:type="dxa" w:w="16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维保工单</w:t>
            </w:r>
          </w:p>
        </w:tc>
        <w:tc>
          <w:tcPr>
            <w:tcW w:type="dxa" w:w="16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closed</w:t>
            </w:r>
          </w:p>
        </w:tc>
        <w:tc>
          <w:tcPr>
            <w:tcW w:type="dxa" w:w="436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workorder/WO-001、workorder/WO-001-test</w:t>
            </w:r>
          </w:p>
        </w:tc>
      </w:tr>
      <w:tr>
        <w:tc>
          <w:tcPr>
            <w:tcW w:type="dxa" w:w="18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WO-002</w:t>
            </w:r>
          </w:p>
        </w:tc>
        <w:tc>
          <w:tcPr>
            <w:tcW w:type="dxa" w:w="16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维保工单</w:t>
            </w:r>
          </w:p>
        </w:tc>
        <w:tc>
          <w:tcPr>
            <w:tcW w:type="dxa" w:w="16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in_progress</w:t>
            </w:r>
          </w:p>
        </w:tc>
        <w:tc>
          <w:tcPr>
            <w:tcW w:type="dxa" w:w="436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workorder/WO-002</w:t>
            </w:r>
          </w:p>
        </w:tc>
      </w:tr>
      <w:tr>
        <w:tc>
          <w:tcPr>
            <w:tcW w:type="dxa" w:w="18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FND-001</w:t>
            </w:r>
          </w:p>
        </w:tc>
        <w:tc>
          <w:tcPr>
            <w:tcW w:type="dxa" w:w="16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巡查隐患</w:t>
            </w:r>
          </w:p>
        </w:tc>
        <w:tc>
          <w:tcPr>
            <w:tcW w:type="dxa" w:w="16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closed</w:t>
            </w:r>
          </w:p>
        </w:tc>
        <w:tc>
          <w:tcPr>
            <w:tcW w:type="dxa" w:w="436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inspection_plan/PLAN-001、finding/FND-001</w:t>
            </w:r>
          </w:p>
        </w:tc>
      </w:tr>
      <w:tr>
        <w:tc>
          <w:tcPr>
            <w:tcW w:type="dxa" w:w="18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FND-002</w:t>
            </w:r>
          </w:p>
        </w:tc>
        <w:tc>
          <w:tcPr>
            <w:tcW w:type="dxa" w:w="16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巡查隐患</w:t>
            </w:r>
          </w:p>
        </w:tc>
        <w:tc>
          <w:tcPr>
            <w:tcW w:type="dxa" w:w="16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assigned</w:t>
            </w:r>
          </w:p>
        </w:tc>
        <w:tc>
          <w:tcPr>
            <w:tcW w:type="dxa" w:w="436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inspection_plan/PLAN-002、finding/FND-002</w:t>
            </w:r>
          </w:p>
        </w:tc>
      </w:tr>
      <w:tr>
        <w:tc>
          <w:tcPr>
            <w:tcW w:type="dxa" w:w="18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FND-003</w:t>
            </w:r>
          </w:p>
        </w:tc>
        <w:tc>
          <w:tcPr>
            <w:tcW w:type="dxa" w:w="16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巡查隐患</w:t>
            </w:r>
          </w:p>
        </w:tc>
        <w:tc>
          <w:tcPr>
            <w:tcW w:type="dxa" w:w="16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closed</w:t>
            </w:r>
          </w:p>
        </w:tc>
        <w:tc>
          <w:tcPr>
            <w:tcW w:type="dxa" w:w="436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inspection_plan/PLAN-003、finding/FND-003</w:t>
            </w:r>
          </w:p>
        </w:tc>
      </w:tr>
      <w:tr>
        <w:tc>
          <w:tcPr>
            <w:tcW w:type="dxa" w:w="18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FND-004</w:t>
            </w:r>
          </w:p>
        </w:tc>
        <w:tc>
          <w:tcPr>
            <w:tcW w:type="dxa" w:w="16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巡查隐患</w:t>
            </w:r>
          </w:p>
        </w:tc>
        <w:tc>
          <w:tcPr>
            <w:tcW w:type="dxa" w:w="16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assigned</w:t>
            </w:r>
          </w:p>
        </w:tc>
        <w:tc>
          <w:tcPr>
            <w:tcW w:type="dxa" w:w="436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inspection_plan/PLAN-004、finding/FND-004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rPr>
          <w:rFonts w:ascii="Hiragino Sans GB" w:hAnsi="Hiragino Sans GB" w:eastAsia="Hiragino Sans GB"/>
          <w:b/>
          <w:color w:val="2E74B5"/>
          <w:sz w:val="32"/>
        </w:rPr>
        <w:t>七、口径、边界与后续测量</w:t>
      </w:r>
    </w:p>
    <w:p>
      <w:r>
        <w:rPr>
          <w:rFonts w:ascii="Hiragino Sans GB" w:hAnsi="Hiragino Sans GB" w:eastAsia="Hiragino Sans GB"/>
          <w:b w:val="0"/>
          <w:color w:val="1F2937"/>
          <w:sz w:val="22"/>
        </w:rPr>
        <w:t>本报告展示 FireOps 对报警、维保、巡查和 ERT 明细的汇总能力。所有数据、企业名称、人员角色、点位和事件均为合成内容，不含历史 Excel 原始行或真实统计结果，不可用于真实事故责任认定。</w:t>
      </w:r>
    </w:p>
    <w:p>
      <w:r>
        <w:rPr>
          <w:rFonts w:ascii="Hiragino Sans GB" w:hAnsi="Hiragino Sans GB" w:eastAsia="Hiragino Sans GB"/>
          <w:b w:val="0"/>
          <w:color w:val="1F2937"/>
          <w:sz w:val="22"/>
        </w:rPr>
        <w:t>人工流程基线：主机故障人工录入约 3 分钟、电话转派约 3 分钟；消防巡查约 10 条/日，二次录入约 3 分钟/条。以上为一线估计，不是 FireOps 实测提效结果。</w:t>
      </w:r>
    </w:p>
    <w:p>
      <w:r>
        <w:rPr>
          <w:rFonts w:ascii="Hiragino Sans GB" w:hAnsi="Hiragino Sans GB" w:eastAsia="Hiragino Sans GB"/>
          <w:b w:val="0"/>
          <w:color w:val="1F2937"/>
          <w:sz w:val="22"/>
        </w:rPr>
        <w:t>正式上线后的测量方案：按同案例配对记录接警、确认、派发、到场、反馈和归档节点；连续积累样本后报告中位数、P90、样本量和缺失率，再判断效率变化。</w:t>
      </w:r>
    </w:p>
    <w:p>
      <w:pPr>
        <w:spacing w:before="100" w:after="200" w:line="276" w:lineRule="auto"/>
        <w:ind w:left="115" w:right="115"/>
        <w:shd w:fill="F4F6F9"/>
        <w:pBdr>
          <w:left w:val="single" w:sz="18" w:space="8" w:color="138A5B"/>
        </w:pBdr>
      </w:pPr>
      <w:r>
        <w:rPr>
          <w:rFonts w:ascii="Hiragino Sans GB" w:hAnsi="Hiragino Sans GB" w:eastAsia="Hiragino Sans GB"/>
          <w:b/>
          <w:color w:val="138A5B"/>
          <w:sz w:val="20"/>
        </w:rPr>
        <w:t xml:space="preserve">人机边界  </w:t>
      </w:r>
      <w:r>
        <w:rPr>
          <w:rFonts w:ascii="Hiragino Sans GB" w:hAnsi="Hiragino Sans GB" w:eastAsia="Hiragino Sans GB"/>
          <w:b w:val="0"/>
          <w:color w:val="111827"/>
          <w:sz w:val="20"/>
        </w:rPr>
        <w:t>AI 可整理证据、提示缺项并生成草稿；火警确认、设备启动、工单派发、整改验收和事件归档均由授权岗位确认。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2500"/>
        <w:gridCol w:w="1900"/>
        <w:gridCol w:w="2360"/>
      </w:tblGrid>
      <w:tr>
        <w:tc>
          <w:tcPr>
            <w:tcW w:type="dxa" w:w="2600"/>
            <w:shd w:fill="F2F4F7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1F4D78"/>
                <w:sz w:val="19"/>
              </w:rPr>
              <w:t>确认项</w:t>
            </w:r>
          </w:p>
        </w:tc>
        <w:tc>
          <w:tcPr>
            <w:tcW w:type="dxa" w:w="2500"/>
            <w:shd w:fill="F2F4F7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1F4D78"/>
                <w:sz w:val="19"/>
              </w:rPr>
              <w:t>确认岗位</w:t>
            </w:r>
          </w:p>
        </w:tc>
        <w:tc>
          <w:tcPr>
            <w:tcW w:type="dxa" w:w="1900"/>
            <w:shd w:fill="F2F4F7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1F4D78"/>
                <w:sz w:val="19"/>
              </w:rPr>
              <w:t>日期</w:t>
            </w:r>
          </w:p>
        </w:tc>
        <w:tc>
          <w:tcPr>
            <w:tcW w:type="dxa" w:w="2360"/>
            <w:shd w:fill="F2F4F7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1F4D78"/>
                <w:sz w:val="19"/>
              </w:rPr>
              <w:t>结论</w:t>
            </w:r>
          </w:p>
        </w:tc>
      </w:tr>
      <w:tr>
        <w:tc>
          <w:tcPr>
            <w:tcW w:type="dxa" w:w="26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周报数据口径</w:t>
            </w:r>
          </w:p>
        </w:tc>
        <w:tc>
          <w:tcPr>
            <w:tcW w:type="dxa" w:w="25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消控室值班员</w:t>
            </w:r>
          </w:p>
        </w:tc>
        <w:tc>
          <w:tcPr>
            <w:tcW w:type="dxa" w:w="19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____年__月__日</w:t>
            </w:r>
          </w:p>
        </w:tc>
        <w:tc>
          <w:tcPr>
            <w:tcW w:type="dxa" w:w="236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________________</w:t>
            </w:r>
          </w:p>
        </w:tc>
      </w:tr>
      <w:tr>
        <w:tc>
          <w:tcPr>
            <w:tcW w:type="dxa" w:w="26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维保关闭与逾期事项</w:t>
            </w:r>
          </w:p>
        </w:tc>
        <w:tc>
          <w:tcPr>
            <w:tcW w:type="dxa" w:w="25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消防设施部门</w:t>
            </w:r>
          </w:p>
        </w:tc>
        <w:tc>
          <w:tcPr>
            <w:tcW w:type="dxa" w:w="19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____年__月__日</w:t>
            </w:r>
          </w:p>
        </w:tc>
        <w:tc>
          <w:tcPr>
            <w:tcW w:type="dxa" w:w="236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________________</w:t>
            </w:r>
          </w:p>
        </w:tc>
      </w:tr>
      <w:tr>
        <w:tc>
          <w:tcPr>
            <w:tcW w:type="dxa" w:w="26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隐患整改与复查</w:t>
            </w:r>
          </w:p>
        </w:tc>
        <w:tc>
          <w:tcPr>
            <w:tcW w:type="dxa" w:w="25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防火巡查负责人</w:t>
            </w:r>
          </w:p>
        </w:tc>
        <w:tc>
          <w:tcPr>
            <w:tcW w:type="dxa" w:w="19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____年__月__日</w:t>
            </w:r>
          </w:p>
        </w:tc>
        <w:tc>
          <w:tcPr>
            <w:tcW w:type="dxa" w:w="236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________________</w:t>
            </w:r>
          </w:p>
        </w:tc>
      </w:tr>
      <w:tr>
        <w:tc>
          <w:tcPr>
            <w:tcW w:type="dxa" w:w="26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下周管理行动</w:t>
            </w:r>
          </w:p>
        </w:tc>
        <w:tc>
          <w:tcPr>
            <w:tcW w:type="dxa" w:w="25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公司管理层</w:t>
            </w:r>
          </w:p>
        </w:tc>
        <w:tc>
          <w:tcPr>
            <w:tcW w:type="dxa" w:w="19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____年__月__日</w:t>
            </w:r>
          </w:p>
        </w:tc>
        <w:tc>
          <w:tcPr>
            <w:tcW w:type="dxa" w:w="236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________________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ns0:fonts xmlns:ns0="http://schemas.openxmlformats.org/wordprocessingml/2006/main" xmlns:ns1="http://schemas.openxmlformats.org/markup-compatibility/2006" ns1:Ignorable="w14">
  <ns0:font ns0:name="Symbol">
    <ns0:panose1 ns0:val="00000000000000000000"/>
    <ns0:charset ns0:val="02"/>
    <ns0:family ns0:val="auto"/>
    <ns0:pitch ns0:val="variable"/>
    <ns0:sig ns0:usb0="00000000" ns0:usb1="10000000" ns0:usb2="00000000" ns0:usb3="00000000" ns0:csb0="80000000" ns0:csb1="00000000"/>
  </ns0:font>
  <ns0:font ns0:name="Times New Roman">
    <ns0:panose1 ns0:val="02020603050405020304"/>
    <ns0:charset ns0:val="00"/>
    <ns0:family ns0:val="auto"/>
    <ns0:pitch ns0:val="variable"/>
    <ns0:sig ns0:usb0="E0002AFF" ns0:usb1="C0007841" ns0:usb2="00000009" ns0:usb3="00000000" ns0:csb0="000001FF" ns0:csb1="00000000"/>
  </ns0:font>
  <ns0:font ns0:name="Cambria">
    <ns0:panose1 ns0:val="02040503050406030204"/>
    <ns0:charset ns0:val="00"/>
    <ns0:family ns0:val="auto"/>
    <ns0:pitch ns0:val="variable"/>
    <ns0:sig ns0:usb0="E00002FF" ns0:usb1="400004FF" ns0:usb2="00000000" ns0:usb3="00000000" ns0:csb0="0000019F" ns0:csb1="00000000"/>
  </ns0:font>
  <ns0:font ns0:name="ＭＳ 明朝">
    <ns0:panose1 ns0:val="00000000000000000000"/>
    <ns0:charset ns0:val="80"/>
    <ns0:family ns0:val="roman"/>
    <ns0:notTrueType/>
    <ns0:pitch ns0:val="fixed"/>
    <ns0:sig ns0:usb0="00000001" ns0:usb1="08070000" ns0:usb2="00000010" ns0:usb3="00000000" ns0:csb0="00020000" ns0:csb1="00000000"/>
  </ns0:font>
  <ns0:font ns0:name="Calibri">
    <ns0:panose1 ns0:val="020F0502020204030204"/>
    <ns0:charset ns0:val="00"/>
    <ns0:family ns0:val="auto"/>
    <ns0:pitch ns0:val="variable"/>
    <ns0:sig ns0:usb0="E10002FF" ns0:usb1="4000ACFF" ns0:usb2="00000009" ns0:usb3="00000000" ns0:csb0="0000019F" ns0:csb1="00000000"/>
  </ns0:font>
  <ns0:font ns0:name="ＭＳ ゴシック">
    <ns0:panose1 ns0:val="00000000000000000000"/>
    <ns0:charset ns0:val="80"/>
    <ns0:family ns0:val="modern"/>
    <ns0:notTrueType/>
    <ns0:pitch ns0:val="fixed"/>
    <ns0:sig ns0:usb0="00000001" ns0:usb1="08070000" ns0:usb2="00000010" ns0:usb3="00000000" ns0:csb0="00020000" ns0:csb1="00000000"/>
  </ns0:font>
  <ns0:font ns0:name="Courier">
    <ns0:panose1 ns0:val="02000500000000000000"/>
    <ns0:charset ns0:val="00"/>
    <ns0:family ns0:val="auto"/>
    <ns0:pitch ns0:val="variable"/>
    <ns0:sig ns0:usb0="00000003" ns0:usb1="00000000" ns0:usb2="00000000" ns0:usb3="00000000" ns0:csb0="00000001" ns0:csb1="00000000"/>
  </ns0:font>
  <ns0:font ns0:name="Arial">
    <ns0:panose1 ns0:val="020B0604020202020204"/>
    <ns0:charset ns0:val="00"/>
    <ns0:family ns0:val="auto"/>
    <ns0:pitch ns0:val="variable"/>
    <ns0:sig ns0:usb0="E0002AFF" ns0:usb1="C0007843" ns0:usb2="00000009" ns0:usb3="00000000" ns0:csb0="000001FF" ns0:csb1="00000000"/>
  </ns0:font>
  <ns0:font ns0:name="Hiragino Sans GB">
    <ns0:family ns0:val="swiss"/>
    <ns0:charset ns0:val="86"/>
  </ns0:font>
</ns0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Hiragino Sans GB" w:hAnsi="Hiragino Sans GB" w:eastAsia="Hiragino Sans GB"/>
        <w:b w:val="0"/>
        <w:color w:val="64748B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Hiragino Sans GB" w:hAnsi="Hiragino Sans GB" w:eastAsia="Hiragino Sans GB"/>
        <w:b w:val="0"/>
        <w:color w:val="64748B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Hiragino Sans GB" w:hAnsi="Hiragino Sans GB" w:eastAsia="Hiragino Sans GB"/>
        <w:b/>
        <w:color w:val="64748B"/>
        <w:sz w:val="18"/>
      </w:rPr>
      <w:t>FireOps AI  |  消防安全周报  |  脱敏合成演示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Hiragino Sans GB" w:hAnsi="Hiragino Sans GB" w:eastAsia="Hiragino Sans G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FireOps AI 消防安全周报</dc:title>
  <dc:subject>复赛脱敏合成演示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