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/>
          <w:b/>
          <w:color w:val="2E74B5"/>
          <w:sz w:val="18"/>
        </w:rPr>
        <w:t>INCIDENT REVIEW / 复赛演示样本</w:t>
      </w:r>
    </w:p>
    <w:p>
      <w:pPr>
        <w:spacing w:after="80"/>
      </w:pPr>
      <w:r>
        <w:rPr>
          <w:rFonts w:ascii="Hiragino Sans GB" w:hAnsi="Hiragino Sans GB" w:eastAsia="Hiragino Sans GB"/>
          <w:b/>
          <w:color w:val="111827"/>
          <w:sz w:val="46"/>
        </w:rPr>
        <w:t>火警处置与战评报告</w:t>
      </w:r>
    </w:p>
    <w:p>
      <w:pPr>
        <w:spacing w:after="280"/>
      </w:pPr>
      <w:r>
        <w:rPr>
          <w:rFonts w:ascii="Hiragino Sans GB" w:hAnsi="Hiragino Sans GB" w:eastAsia="Hiragino Sans GB"/>
          <w:b w:val="0"/>
          <w:color w:val="374151"/>
          <w:sz w:val="28"/>
        </w:rPr>
        <w:t>电池车间 PACK 产线 A1 火警闭环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事件编号：</w:t>
      </w:r>
      <w:r>
        <w:rPr>
          <w:rFonts w:ascii="Hiragino Sans GB" w:hAnsi="Hiragino Sans GB" w:eastAsia="Hiragino Sans GB"/>
          <w:b w:val="0"/>
          <w:color w:val="1F2937"/>
          <w:sz w:val="21"/>
        </w:rPr>
        <w:t>OFFLINE-INC-001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报告状态：</w:t>
      </w:r>
      <w:r>
        <w:rPr>
          <w:rFonts w:ascii="Hiragino Sans GB" w:hAnsi="Hiragino Sans GB" w:eastAsia="Hiragino Sans GB"/>
          <w:b w:val="0"/>
          <w:color w:val="1F2937"/>
          <w:sz w:val="21"/>
        </w:rPr>
        <w:t>已生成，待战评会议确认改进行动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事件位置：</w:t>
      </w:r>
      <w:r>
        <w:rPr>
          <w:rFonts w:ascii="Hiragino Sans GB" w:hAnsi="Hiragino Sans GB" w:eastAsia="Hiragino Sans GB"/>
          <w:b w:val="0"/>
          <w:color w:val="1F2937"/>
          <w:sz w:val="21"/>
        </w:rPr>
        <w:t>电池车间 2F · PACK 产线 A1 半成品缓存区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事件日期：</w:t>
      </w:r>
      <w:r>
        <w:rPr>
          <w:rFonts w:ascii="Hiragino Sans GB" w:hAnsi="Hiragino Sans GB" w:eastAsia="Hiragino Sans GB"/>
          <w:b w:val="0"/>
          <w:color w:val="1F2937"/>
          <w:sz w:val="21"/>
        </w:rPr>
        <w:t>2026-08-31</w:t>
      </w:r>
    </w:p>
    <w:p>
      <w:pPr>
        <w:spacing w:after="40"/>
      </w:pPr>
      <w:r>
        <w:rPr>
          <w:rFonts w:ascii="Hiragino Sans GB" w:hAnsi="Hiragino Sans GB" w:eastAsia="Hiragino Sans GB"/>
          <w:b/>
          <w:color w:val="1F2937"/>
          <w:sz w:val="21"/>
        </w:rPr>
        <w:t>数据范围：</w:t>
      </w:r>
      <w:r>
        <w:rPr>
          <w:rFonts w:ascii="Hiragino Sans GB" w:hAnsi="Hiragino Sans GB" w:eastAsia="Hiragino Sans GB"/>
          <w:b w:val="0"/>
          <w:color w:val="1F2937"/>
          <w:sz w:val="21"/>
        </w:rPr>
        <w:t>脱敏合成演示，不代表真实事故结论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一、事件摘要</w:t>
      </w: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10:24，平台接收到火警主机报警。系统完成点位编码映射后，将报警定位到电池车间 2F PACK 产线 A1，并向巡查人员提供楼层、报警点和推荐入口。巡查人员到场确认明火后，消控室值班员升级事件并同步调派专职消防队和本车间 ERT。</w:t>
      </w: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10:49，值班员核对现场反馈、人员情况和关键消防设施状态后归档。系统同步生成本报告，供战评会议确认事实、责任和改进行动。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二、处置结果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560"/>
        <w:gridCol w:w="3300"/>
      </w:tblGrid>
      <w:tr>
        <w:tc>
          <w:tcPr>
            <w:tcW w:type="dxa" w:w="15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45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结果</w:t>
            </w:r>
          </w:p>
        </w:tc>
        <w:tc>
          <w:tcPr>
            <w:tcW w:type="dxa" w:w="3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确认方式</w:t>
            </w:r>
          </w:p>
        </w:tc>
      </w:tr>
      <w:tr>
        <w:tc>
          <w:tcPr>
            <w:tcW w:type="dxa" w:w="1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火情</w:t>
            </w:r>
          </w:p>
        </w:tc>
        <w:tc>
          <w:tcPr>
            <w:tcW w:type="dxa" w:w="4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明火已扑灭，现场继续监护复燃风险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专职消防队现场反馈</w:t>
            </w:r>
          </w:p>
        </w:tc>
      </w:tr>
      <w:tr>
        <w:tc>
          <w:tcPr>
            <w:tcW w:type="dxa" w:w="1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人员</w:t>
            </w:r>
          </w:p>
        </w:tc>
        <w:tc>
          <w:tcPr>
            <w:tcW w:type="dxa" w:w="4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无被困人员，车间人员已完成疏散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消防队与车间 ERT 反馈</w:t>
            </w:r>
          </w:p>
        </w:tc>
      </w:tr>
      <w:tr>
        <w:tc>
          <w:tcPr>
            <w:tcW w:type="dxa" w:w="1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关键设施</w:t>
            </w:r>
          </w:p>
        </w:tc>
        <w:tc>
          <w:tcPr>
            <w:tcW w:type="dxa" w:w="4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消防泵、排烟系统、应急照明均已人工复核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消控室值班员确认</w:t>
            </w:r>
          </w:p>
        </w:tc>
      </w:tr>
      <w:tr>
        <w:tc>
          <w:tcPr>
            <w:tcW w:type="dxa" w:w="1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事件状态</w:t>
            </w:r>
          </w:p>
        </w:tc>
        <w:tc>
          <w:tcPr>
            <w:tcW w:type="dxa" w:w="45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已闭环归档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值班员人工闸门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三、响应时效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600"/>
        <w:gridCol w:w="4960"/>
      </w:tblGrid>
      <w:tr>
        <w:tc>
          <w:tcPr>
            <w:tcW w:type="dxa" w:w="1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节点</w:t>
            </w:r>
          </w:p>
        </w:tc>
        <w:tc>
          <w:tcPr>
            <w:tcW w:type="dxa" w:w="12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1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阶段用时</w:t>
            </w:r>
          </w:p>
        </w:tc>
        <w:tc>
          <w:tcPr>
            <w:tcW w:type="dxa" w:w="49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口径</w:t>
            </w:r>
          </w:p>
        </w:tc>
      </w:tr>
      <w:tr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报警接入</w:t>
            </w:r>
          </w:p>
        </w:tc>
        <w:tc>
          <w:tcPr>
            <w:tcW w:type="dxa" w:w="1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10:24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-</w:t>
            </w:r>
          </w:p>
        </w:tc>
        <w:tc>
          <w:tcPr>
            <w:tcW w:type="dxa" w:w="49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火警主机信号进入平台</w:t>
            </w:r>
          </w:p>
        </w:tc>
      </w:tr>
      <w:tr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人工确认火警</w:t>
            </w:r>
          </w:p>
        </w:tc>
        <w:tc>
          <w:tcPr>
            <w:tcW w:type="dxa" w:w="1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10:29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5 分钟</w:t>
            </w:r>
          </w:p>
        </w:tc>
        <w:tc>
          <w:tcPr>
            <w:tcW w:type="dxa" w:w="49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巡查人员现场确认</w:t>
            </w:r>
          </w:p>
        </w:tc>
      </w:tr>
      <w:tr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处置任务派发</w:t>
            </w:r>
          </w:p>
        </w:tc>
        <w:tc>
          <w:tcPr>
            <w:tcW w:type="dxa" w:w="1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10:31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2 分钟</w:t>
            </w:r>
          </w:p>
        </w:tc>
        <w:tc>
          <w:tcPr>
            <w:tcW w:type="dxa" w:w="49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值班员确认后派发</w:t>
            </w:r>
          </w:p>
        </w:tc>
      </w:tr>
      <w:tr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消防队到场</w:t>
            </w:r>
          </w:p>
        </w:tc>
        <w:tc>
          <w:tcPr>
            <w:tcW w:type="dxa" w:w="1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10:36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5 分钟</w:t>
            </w:r>
          </w:p>
        </w:tc>
        <w:tc>
          <w:tcPr>
            <w:tcW w:type="dxa" w:w="49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班组到场反馈</w:t>
            </w:r>
          </w:p>
        </w:tc>
      </w:tr>
      <w:tr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事件归档</w:t>
            </w:r>
          </w:p>
        </w:tc>
        <w:tc>
          <w:tcPr>
            <w:tcW w:type="dxa" w:w="1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10:49</w:t>
            </w:r>
          </w:p>
        </w:tc>
        <w:tc>
          <w:tcPr>
            <w:tcW w:type="dxa" w:w="1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13 分钟</w:t>
            </w:r>
          </w:p>
        </w:tc>
        <w:tc>
          <w:tcPr>
            <w:tcW w:type="dxa" w:w="49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值班员核验并归档</w:t>
            </w:r>
          </w:p>
        </w:tc>
      </w:tr>
    </w:tbl>
    <w:p>
      <w:pPr>
        <w:spacing w:after="20"/>
      </w:pPr>
    </w:p>
    <w:p>
      <w:pPr>
        <w:spacing w:before="80"/>
      </w:pPr>
      <w:r>
        <w:rPr>
          <w:rFonts w:ascii="Hiragino Sans GB" w:hAnsi="Hiragino Sans GB" w:eastAsia="Hiragino Sans GB"/>
          <w:b/>
          <w:color w:val="9B1C1C"/>
          <w:sz w:val="19"/>
        </w:rPr>
        <w:t>说明：</w:t>
      </w:r>
      <w:r>
        <w:rPr>
          <w:rFonts w:ascii="Hiragino Sans GB" w:hAnsi="Hiragino Sans GB" w:eastAsia="Hiragino Sans GB"/>
          <w:b w:val="0"/>
          <w:color w:val="64748B"/>
          <w:sz w:val="19"/>
        </w:rPr>
        <w:t>上述时间用于演示完整链路，不作为 FireOps 提效结论。正式评测应采用同案例配对计时，报告中位数、P90 和样本量。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四、事件时间线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700"/>
        <w:gridCol w:w="2100"/>
        <w:gridCol w:w="4460"/>
      </w:tblGrid>
      <w:tr>
        <w:tc>
          <w:tcPr>
            <w:tcW w:type="dxa" w:w="11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17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处置节点</w:t>
            </w:r>
          </w:p>
        </w:tc>
        <w:tc>
          <w:tcPr>
            <w:tcW w:type="dxa" w:w="21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责任岗位</w:t>
            </w:r>
          </w:p>
        </w:tc>
        <w:tc>
          <w:tcPr>
            <w:tcW w:type="dxa" w:w="44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记录内容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10:24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报警接入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火警主机报警完成点位映射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10:26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巡查受领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防火巡查人员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收到楼层、点位、推荐入口和核实路线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10:29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现场确认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防火巡查人员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确认明火与浓烟，申请升级处置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10:31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任务派发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专职消防队与电池车间 ERT 同步受领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10:33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班组出动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按南门路线出动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10:36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到达现场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到达 PACK 产线 A1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10:44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现场反馈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火势受控，人员已撤离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10:49</w:t>
            </w:r>
          </w:p>
        </w:tc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人工归档</w:t>
            </w:r>
          </w:p>
        </w:tc>
        <w:tc>
          <w:tcPr>
            <w:tcW w:type="dxa" w:w="2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4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核验设施、人员和现场反馈后闭环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五、参与岗位与职责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岗位</w:t>
            </w:r>
          </w:p>
        </w:tc>
        <w:tc>
          <w:tcPr>
            <w:tcW w:type="dxa" w:w="68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本次职责</w:t>
            </w:r>
          </w:p>
        </w:tc>
      </w:tr>
      <w:tr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68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接收报警、确认升级、任务派发、设施核验和事件归档</w:t>
            </w:r>
          </w:p>
        </w:tc>
      </w:tr>
      <w:tr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防火巡查人员</w:t>
            </w:r>
          </w:p>
        </w:tc>
        <w:tc>
          <w:tcPr>
            <w:tcW w:type="dxa" w:w="68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按推荐路线到场核实并提交首报</w:t>
            </w:r>
          </w:p>
        </w:tc>
      </w:tr>
      <w:tr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</w:t>
            </w:r>
          </w:p>
        </w:tc>
        <w:tc>
          <w:tcPr>
            <w:tcW w:type="dxa" w:w="68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签收、出动、到场处置并反馈结果</w:t>
            </w:r>
          </w:p>
        </w:tc>
      </w:tr>
      <w:tr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电池车间 ERT</w:t>
            </w:r>
          </w:p>
        </w:tc>
        <w:tc>
          <w:tcPr>
            <w:tcW w:type="dxa" w:w="68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组织人员疏散并协同工艺处置</w:t>
            </w:r>
          </w:p>
        </w:tc>
      </w:tr>
      <w:tr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公司管理层</w:t>
            </w:r>
          </w:p>
        </w:tc>
        <w:tc>
          <w:tcPr>
            <w:tcW w:type="dxa" w:w="68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只读查看处置结果、时效和改进行动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六、现场对讲摘要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200"/>
        <w:gridCol w:w="6060"/>
      </w:tblGrid>
      <w:tr>
        <w:tc>
          <w:tcPr>
            <w:tcW w:type="dxa" w:w="11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22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60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现场信息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10:25</w:t>
            </w:r>
          </w:p>
        </w:tc>
        <w:tc>
          <w:tcPr>
            <w:tcW w:type="dxa" w:w="2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6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请巡查员按推荐路线前往电池车间 2F PACK 缓存区核实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10:29</w:t>
            </w:r>
          </w:p>
        </w:tc>
        <w:tc>
          <w:tcPr>
            <w:tcW w:type="dxa" w:w="2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防火巡查人员</w:t>
            </w:r>
          </w:p>
        </w:tc>
        <w:tc>
          <w:tcPr>
            <w:tcW w:type="dxa" w:w="6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现场确认有明火和浓烟，请求升级处置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10:31</w:t>
            </w:r>
          </w:p>
        </w:tc>
        <w:tc>
          <w:tcPr>
            <w:tcW w:type="dxa" w:w="2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6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专职消防队与电池车间 ERT 同步受领，按南门路线进入</w:t>
            </w:r>
          </w:p>
        </w:tc>
      </w:tr>
      <w:tr>
        <w:tc>
          <w:tcPr>
            <w:tcW w:type="dxa" w:w="11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10:44</w:t>
            </w:r>
          </w:p>
        </w:tc>
        <w:tc>
          <w:tcPr>
            <w:tcW w:type="dxa" w:w="22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</w:t>
            </w:r>
          </w:p>
        </w:tc>
        <w:tc>
          <w:tcPr>
            <w:tcW w:type="dxa" w:w="6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火势受控，人员已撤离，继续监护复燃风险</w:t>
            </w:r>
          </w:p>
        </w:tc>
      </w:tr>
    </w:tbl>
    <w:p>
      <w:pPr>
        <w:spacing w:after="20"/>
      </w:pPr>
    </w:p>
    <w:p>
      <w:r>
        <w:rPr>
          <w:rFonts w:ascii="Hiragino Sans GB" w:hAnsi="Hiragino Sans GB" w:eastAsia="Hiragino Sans GB"/>
          <w:b w:val="0"/>
          <w:color w:val="1F2937"/>
          <w:sz w:val="22"/>
        </w:rPr>
        <w:t>平台只负责整理带来源的现场事实、人工指令和设施反馈。现场指挥、设备操作和事件结束仍由授权人员确认。</w:t>
      </w: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七、关键消防设施核验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c>
          <w:tcPr>
            <w:tcW w:type="dxa" w:w="2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设施</w:t>
            </w:r>
          </w:p>
        </w:tc>
        <w:tc>
          <w:tcPr>
            <w:tcW w:type="dxa" w:w="33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34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核验结论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消防泵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运行反馈已接收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值班员人工复核正常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排烟系统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东侧排烟风机启动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现场与消控室双重确认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应急照明</w:t>
            </w:r>
          </w:p>
        </w:tc>
        <w:tc>
          <w:tcPr>
            <w:tcW w:type="dxa" w:w="33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疏散通道照明正常</w:t>
            </w:r>
          </w:p>
        </w:tc>
        <w:tc>
          <w:tcPr>
            <w:tcW w:type="dxa" w:w="34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车间 ERT 现场确认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八、战评议题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议题</w:t>
            </w:r>
          </w:p>
        </w:tc>
        <w:tc>
          <w:tcPr>
            <w:tcW w:type="dxa" w:w="3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本次事实</w:t>
            </w:r>
          </w:p>
        </w:tc>
        <w:tc>
          <w:tcPr>
            <w:tcW w:type="dxa" w:w="40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会议需要确认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报警核实</w:t>
            </w:r>
          </w:p>
        </w:tc>
        <w:tc>
          <w:tcPr>
            <w:tcW w:type="dxa" w:w="3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报警至人工确认 5 分钟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路线、证据和漏填节点是否需要调整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任务调派</w:t>
            </w:r>
          </w:p>
        </w:tc>
        <w:tc>
          <w:tcPr>
            <w:tcW w:type="dxa" w:w="3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确认后 2 分钟完成消防队与 ERT 派发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岗位简报和签收责任是否清楚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现场处置</w:t>
            </w:r>
          </w:p>
        </w:tc>
        <w:tc>
          <w:tcPr>
            <w:tcW w:type="dxa" w:w="3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到场后 8 分钟反馈火势受控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复燃监护、受影响设备和专项检查范围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数据质量</w:t>
            </w:r>
          </w:p>
        </w:tc>
        <w:tc>
          <w:tcPr>
            <w:tcW w:type="dxa" w:w="3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本次事件五个关键时间节点完整</w:t>
            </w:r>
          </w:p>
        </w:tc>
        <w:tc>
          <w:tcPr>
            <w:tcW w:type="dxa" w:w="40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后续同案例计时的样本与排除规则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九、改进行动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820"/>
        <w:gridCol w:w="1900"/>
        <w:gridCol w:w="2590"/>
        <w:gridCol w:w="1000"/>
      </w:tblGrid>
      <w:tr>
        <w:tc>
          <w:tcPr>
            <w:tcW w:type="dxa" w:w="105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编号</w:t>
            </w:r>
          </w:p>
        </w:tc>
        <w:tc>
          <w:tcPr>
            <w:tcW w:type="dxa" w:w="282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行动</w:t>
            </w:r>
          </w:p>
        </w:tc>
        <w:tc>
          <w:tcPr>
            <w:tcW w:type="dxa" w:w="19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责任岗位</w:t>
            </w:r>
          </w:p>
        </w:tc>
        <w:tc>
          <w:tcPr>
            <w:tcW w:type="dxa" w:w="259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完成标准</w:t>
            </w:r>
          </w:p>
        </w:tc>
        <w:tc>
          <w:tcPr>
            <w:tcW w:type="dxa" w:w="10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状态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AAR-01</w:t>
            </w:r>
          </w:p>
        </w:tc>
        <w:tc>
          <w:tcPr>
            <w:tcW w:type="dxa" w:w="282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校核 PACK 缓存区报警点位映射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消防设施部门</w:t>
            </w:r>
          </w:p>
        </w:tc>
        <w:tc>
          <w:tcPr>
            <w:tcW w:type="dxa" w:w="259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编码表与现场点位一致</w:t>
            </w:r>
          </w:p>
        </w:tc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待会议确认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AAR-02</w:t>
            </w:r>
          </w:p>
        </w:tc>
        <w:tc>
          <w:tcPr>
            <w:tcW w:type="dxa" w:w="282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复核南门到 A1 的应急路线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防火巡查人员</w:t>
            </w:r>
          </w:p>
        </w:tc>
        <w:tc>
          <w:tcPr>
            <w:tcW w:type="dxa" w:w="259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路线无占用并完成一次实走</w:t>
            </w:r>
          </w:p>
        </w:tc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待会议确认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AAR-03</w:t>
            </w:r>
          </w:p>
        </w:tc>
        <w:tc>
          <w:tcPr>
            <w:tcW w:type="dxa" w:w="282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补充关键设施确认话术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259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设施名称、状态和确认人可追溯</w:t>
            </w:r>
          </w:p>
        </w:tc>
        <w:tc>
          <w:tcPr>
            <w:tcW w:type="dxa" w:w="10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待会议确认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Hiragino Sans GB" w:hAnsi="Hiragino Sans GB" w:eastAsia="Hiragino Sans GB"/>
          <w:b/>
          <w:color w:val="2E74B5"/>
          <w:sz w:val="32"/>
        </w:rPr>
        <w:t>十、人工确认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500"/>
        <w:gridCol w:w="1900"/>
        <w:gridCol w:w="2360"/>
      </w:tblGrid>
      <w:tr>
        <w:tc>
          <w:tcPr>
            <w:tcW w:type="dxa" w:w="26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确认项</w:t>
            </w:r>
          </w:p>
        </w:tc>
        <w:tc>
          <w:tcPr>
            <w:tcW w:type="dxa" w:w="25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确认人/岗位</w:t>
            </w:r>
          </w:p>
        </w:tc>
        <w:tc>
          <w:tcPr>
            <w:tcW w:type="dxa" w:w="190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日期</w:t>
            </w:r>
          </w:p>
        </w:tc>
        <w:tc>
          <w:tcPr>
            <w:tcW w:type="dxa" w:w="2360"/>
            <w:shd w:fill="F2F4F7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1F4D78"/>
                <w:sz w:val="19"/>
              </w:rPr>
              <w:t>结论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事件事实与时间线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消控室值班员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现场处置结果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专职消防队负责人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设施状态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消防设施部门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  <w:tr>
        <w:tc>
          <w:tcPr>
            <w:tcW w:type="dxa" w:w="26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改进行动</w:t>
            </w:r>
          </w:p>
        </w:tc>
        <w:tc>
          <w:tcPr>
            <w:tcW w:type="dxa" w:w="25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战评会议主持人</w:t>
            </w:r>
          </w:p>
        </w:tc>
        <w:tc>
          <w:tcPr>
            <w:tcW w:type="dxa" w:w="190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____年__月__日</w:t>
            </w:r>
          </w:p>
        </w:tc>
        <w:tc>
          <w:tcPr>
            <w:tcW w:type="dxa" w:w="2360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Hiragino Sans GB" w:hAnsi="Hiragino Sans GB" w:eastAsia="Hiragino Sans GB"/>
                <w:b w:val="0"/>
                <w:color w:val="1F2937"/>
                <w:sz w:val="19"/>
              </w:rPr>
              <w:t>________________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  <ns0:font ns0:name="Hiragino Sans GB">
    <ns0:family ns0:val="swiss"/>
    <ns0:charset ns0:val="86"/>
  </ns0:font>
</ns0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Hiragino Sans GB" w:hAnsi="Hiragino Sans GB" w:eastAsia="Hiragino Sans GB"/>
        <w:b/>
        <w:color w:val="64748B"/>
        <w:sz w:val="18"/>
      </w:rPr>
      <w:t>FireOps AI  |  火警处置与战评报告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FireOps AI 火警处置与战评报告</dc:title>
  <dc:subject>复赛演示样本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