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961"/>
        <w:gridCol w:w="4961"/>
      </w:tblGrid>
      <w:tr>
        <w:trPr>
          <w:jc w:val="center"/>
        </w:trPr>
        <w:tc>
          <w:tcPr>
            <w:shd w:val="clear" w:color="auto" w:fill="edf4f3"/>
            <w:tcBorders/>
            <w:tcMar>
              <w:left w:w="110" w:type="dxa"/>
              <w:top w:w="70" w:type="dxa"/>
              <w:right w:w="110" w:type="dxa"/>
              <w:bottom w:w="70" w:type="dxa"/>
            </w:tcMar>
            <w:tcW w:w="49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1f5a68"/>
                <w:sz w:val="16"/>
              </w:rPr>
              <w:t xml:space="preserve">PILAR: FUNDAMENTOS E CONFIANÇA</w:t>
            </w:r>
            <w:r/>
          </w:p>
        </w:tc>
        <w:tc>
          <w:tcPr>
            <w:shd w:val="clear" w:color="auto" w:fill="1f5a68"/>
            <w:tcBorders/>
            <w:tcMar>
              <w:left w:w="110" w:type="dxa"/>
              <w:top w:w="70" w:type="dxa"/>
              <w:right w:w="110" w:type="dxa"/>
              <w:bottom w:w="70" w:type="dxa"/>
            </w:tcMar>
            <w:tcW w:w="4961" w:type="dxa"/>
            <w:vAlign w:val="center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b/>
                <w:color w:val="ffffff"/>
                <w:sz w:val="17"/>
              </w:rPr>
              <w:t xml:space="preserve">ARTIGO 01</w:t>
            </w:r>
            <w:r/>
          </w:p>
        </w:tc>
      </w:tr>
    </w:tbl>
    <w:p>
      <w:pPr>
        <w:pBdr/>
        <w:spacing w:after="80" w:before="140" w:line="360" w:lineRule="auto"/>
        <w:ind/>
        <w:jc w:val="center"/>
        <w:rPr>
          <w:b/>
          <w:color w:val="242424"/>
          <w:sz w:val="32"/>
        </w:rPr>
      </w:pPr>
      <w:r>
        <w:rPr>
          <w:b/>
          <w:color w:val="242424"/>
          <w:sz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86500" cy="3543300"/>
                <wp:effectExtent l="0" t="0" r="0" b="0"/>
                <wp:docPr id="1" name="_x0000_i102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ChatGPT Image 20 de jul. de 2026, 10_26_45"/>
                        <pic:cNvPicPr/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286500" cy="35433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95.00pt;height:279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color w:val="242424"/>
          <w:sz w:val="32"/>
        </w:rPr>
      </w:r>
    </w:p>
    <w:p>
      <w:pPr>
        <w:pBdr/>
        <w:spacing w:after="80" w:before="140" w:line="36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color w:val="242424"/>
          <w:sz w:val="32"/>
          <w:szCs w:val="32"/>
        </w:rPr>
        <w:t xml:space="preserve">Do </w:t>
      </w:r>
      <w:r>
        <w:rPr>
          <w:rFonts w:ascii="Times New Roman" w:hAnsi="Times New Roman" w:cs="Times New Roman"/>
          <w:b/>
          <w:color w:val="242424"/>
          <w:sz w:val="32"/>
          <w:szCs w:val="32"/>
        </w:rPr>
        <w:t xml:space="preserve">Analógico</w:t>
      </w:r>
      <w:r>
        <w:rPr>
          <w:rFonts w:ascii="Times New Roman" w:hAnsi="Times New Roman" w:cs="Times New Roman"/>
          <w:b/>
          <w:color w:val="242424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color w:val="242424"/>
          <w:sz w:val="32"/>
          <w:szCs w:val="32"/>
        </w:rPr>
        <w:t xml:space="preserve">ao</w:t>
      </w:r>
      <w:r>
        <w:rPr>
          <w:rFonts w:ascii="Times New Roman" w:hAnsi="Times New Roman" w:cs="Times New Roman"/>
          <w:b/>
          <w:color w:val="242424"/>
          <w:sz w:val="32"/>
          <w:szCs w:val="32"/>
        </w:rPr>
        <w:t xml:space="preserve"> D</w:t>
      </w:r>
      <w:r>
        <w:rPr>
          <w:rFonts w:ascii="Times New Roman" w:hAnsi="Times New Roman" w:cs="Times New Roman"/>
          <w:b/>
          <w:color w:val="242424"/>
          <w:sz w:val="32"/>
          <w:szCs w:val="32"/>
        </w:rPr>
        <w:t xml:space="preserve">igital: </w:t>
      </w:r>
      <w:r>
        <w:rPr>
          <w:rFonts w:ascii="Times New Roman" w:hAnsi="Times New Roman" w:cs="Times New Roman"/>
          <w:b/>
          <w:color w:val="242424"/>
          <w:sz w:val="32"/>
          <w:szCs w:val="32"/>
        </w:rPr>
        <w:t xml:space="preserve">como</w:t>
      </w:r>
      <w:r>
        <w:rPr>
          <w:rFonts w:ascii="Times New Roman" w:hAnsi="Times New Roman" w:cs="Times New Roman"/>
          <w:b/>
          <w:color w:val="242424"/>
          <w:sz w:val="32"/>
          <w:szCs w:val="32"/>
        </w:rPr>
        <w:t xml:space="preserve"> o </w:t>
      </w:r>
      <w:r>
        <w:rPr>
          <w:rFonts w:ascii="Times New Roman" w:hAnsi="Times New Roman" w:cs="Times New Roman"/>
          <w:b/>
          <w:color w:val="242424"/>
          <w:sz w:val="32"/>
          <w:szCs w:val="32"/>
        </w:rPr>
        <w:t xml:space="preserve">fluxo</w:t>
      </w:r>
      <w:r>
        <w:rPr>
          <w:rFonts w:ascii="Times New Roman" w:hAnsi="Times New Roman" w:cs="Times New Roman"/>
          <w:b/>
          <w:color w:val="242424"/>
          <w:sz w:val="32"/>
          <w:szCs w:val="32"/>
        </w:rPr>
        <w:t xml:space="preserve"> protético está mudando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80"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 transformação digital na prótese dentária não começou para apagar técnicas consagradas. Ela surgiu para integrar dados, comunicação e</w:t>
      </w:r>
      <w:bookmarkStart w:id="0" w:name="_GoBack"/>
      <w:r/>
      <w:bookmarkEnd w:id="0"/>
      <w:r>
        <w:rPr>
          <w:rFonts w:ascii="Times New Roman" w:hAnsi="Times New Roman" w:cs="Times New Roman"/>
          <w:b/>
          <w:sz w:val="24"/>
          <w:szCs w:val="24"/>
        </w:rPr>
        <w:t xml:space="preserve"> produção, </w:t>
      </w:r>
      <w:r>
        <w:rPr>
          <w:rFonts w:ascii="Times New Roman" w:hAnsi="Times New Roman" w:cs="Times New Roman"/>
          <w:b/>
          <w:sz w:val="24"/>
          <w:szCs w:val="24"/>
        </w:rPr>
        <w:t xml:space="preserve">preservando o conhecimento técnico que sustenta cada decisão clínica e laboratorial.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20" w:before="40"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f5a68"/>
          <w:sz w:val="24"/>
          <w:szCs w:val="24"/>
        </w:rPr>
        <w:t xml:space="preserve">O que realmente está mudando?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60"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fluxo analógico, etapas como moldagem, obtenção do modelo, enceramento e processamento dependem de registros físicos sucessivos. No fluxo </w:t>
      </w:r>
      <w:r>
        <w:rPr>
          <w:rFonts w:ascii="Times New Roman" w:hAnsi="Times New Roman" w:cs="Times New Roman"/>
          <w:sz w:val="24"/>
          <w:szCs w:val="24"/>
        </w:rPr>
        <w:t xml:space="preserve">digital, parte dessas informações pode ser capturada por escaneamento intraoral ou laboratorial, convertida em um modelo virtual, planejada em software CAD e produzida por fresagem ou impressão 3D. Na prática, muitos laboratórios trabalham com fluxos híbri</w:t>
      </w:r>
      <w:r>
        <w:rPr>
          <w:rFonts w:ascii="Times New Roman" w:hAnsi="Times New Roman" w:cs="Times New Roman"/>
          <w:sz w:val="24"/>
          <w:szCs w:val="24"/>
        </w:rPr>
        <w:t xml:space="preserve">dos, escolhendo a tecnologia mais adequada para cada caso.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20" w:before="40"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f5a68"/>
          <w:sz w:val="24"/>
          <w:szCs w:val="24"/>
        </w:rPr>
        <w:t xml:space="preserve">Mais eficiência, mas não “piloto automático”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60"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Revisões científicas indicam que o escaneamento intraoral pode reduzir o tempo de determinados procedimentos e melhorar o conforto do paciente, especial</w:t>
      </w:r>
      <w:r>
        <w:rPr>
          <w:rFonts w:ascii="Times New Roman" w:hAnsi="Times New Roman" w:cs="Times New Roman"/>
          <w:sz w:val="24"/>
          <w:szCs w:val="24"/>
        </w:rPr>
        <w:t xml:space="preserve">mente em reabilitações unitárias e de menor extensão (SIQUEIRA et al., 2021). Ao mesmo tempo, a evidência mostra que o desempenho depende da extensão do caso, do protocolo de captura, do material, do equipamento e da experiência do operador. Para próteses </w:t>
      </w:r>
      <w:r>
        <w:rPr>
          <w:rFonts w:ascii="Times New Roman" w:hAnsi="Times New Roman" w:cs="Times New Roman"/>
          <w:sz w:val="24"/>
          <w:szCs w:val="24"/>
        </w:rPr>
        <w:t xml:space="preserve">extensas e situações complexas, ainda existem limitações e necessidade de validação clínica adicional (BERNAUER; ZITZMANN; JODA, 2023).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20" w:before="40"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f5a68"/>
          <w:sz w:val="24"/>
          <w:szCs w:val="24"/>
        </w:rPr>
        <w:t xml:space="preserve">O protagonismo técnico permanece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60"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digital muda as ferramentas, não elimina o raciocínio protético. O TPD continua essen</w:t>
      </w:r>
      <w:r>
        <w:rPr>
          <w:rFonts w:ascii="Times New Roman" w:hAnsi="Times New Roman" w:cs="Times New Roman"/>
          <w:sz w:val="24"/>
          <w:szCs w:val="24"/>
        </w:rPr>
        <w:t xml:space="preserve">cial para interpretar anatomia, oclusão, estética, propriedades dos materiais e parâmetros de processamento. A </w:t>
      </w:r>
      <w:r>
        <w:rPr>
          <w:rFonts w:ascii="Times New Roman" w:hAnsi="Times New Roman" w:cs="Times New Roman"/>
          <w:sz w:val="24"/>
          <w:szCs w:val="24"/>
        </w:rPr>
        <w:t xml:space="preserve">tecnologia amplia a rastreabilidade, facilita a comunicação entre clínica e laboratório e permite repetir etapas com maior controle; porém, resul</w:t>
      </w:r>
      <w:r>
        <w:rPr>
          <w:rFonts w:ascii="Times New Roman" w:hAnsi="Times New Roman" w:cs="Times New Roman"/>
          <w:sz w:val="24"/>
          <w:szCs w:val="24"/>
        </w:rPr>
        <w:t xml:space="preserve">tados previsíveis exigem capacitação, padronização e domínio dos fundamentos. Estudos comparativos descrevem os fluxos digitais como eficientes e comparáveis aos métodos convencionais, e não como superiores em todas as situações (AHMED, 2018).</w:t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922"/>
      </w:tblGrid>
      <w:tr>
        <w:trPr>
          <w:jc w:val="center"/>
        </w:trPr>
        <w:tc>
          <w:tcPr>
            <w:shd w:val="clear" w:color="auto" w:fill="f5f0e8"/>
            <w:tcBorders/>
            <w:tcMar>
              <w:left w:w="130" w:type="dxa"/>
              <w:top w:w="85" w:type="dxa"/>
              <w:right w:w="130" w:type="dxa"/>
              <w:bottom w:w="85" w:type="dxa"/>
            </w:tcMar>
            <w:tcW w:w="9922" w:type="dxa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b/>
                <w:i/>
                <w:color w:val="4e4030"/>
                <w:sz w:val="19"/>
              </w:rPr>
              <w:t xml:space="preserve">O futuro da </w:t>
            </w:r>
            <w:r>
              <w:rPr>
                <w:b/>
                <w:i/>
                <w:color w:val="4e4030"/>
                <w:sz w:val="19"/>
              </w:rPr>
              <w:t xml:space="preserve">prótese não será apenas analógico ou digital. Será técnico, conectado e orientado por evidências — unindo experiência, inovação e materiais confiáveis em favor de resultados mais previsíveis.</w:t>
            </w:r>
            <w:r/>
          </w:p>
        </w:tc>
      </w:tr>
    </w:tbl>
    <w:p>
      <w:pPr>
        <w:pBdr/>
        <w:spacing w:after="20" w:before="100"/>
        <w:ind/>
        <w:rPr>
          <w:b/>
          <w:color w:val="1f5a68"/>
          <w:sz w:val="17"/>
        </w:rPr>
      </w:pPr>
      <w:r>
        <w:rPr>
          <w:b/>
          <w:color w:val="1f5a68"/>
          <w:sz w:val="17"/>
        </w:rPr>
      </w:r>
      <w:r>
        <w:rPr>
          <w:b/>
          <w:color w:val="1f5a68"/>
          <w:sz w:val="17"/>
        </w:rPr>
      </w:r>
    </w:p>
    <w:p>
      <w:pPr>
        <w:pBdr/>
        <w:spacing w:after="20" w:before="60"/>
        <w:ind/>
        <w:rPr>
          <w:sz w:val="24"/>
          <w:szCs w:val="24"/>
        </w:rPr>
      </w:pPr>
      <w:r>
        <w:rPr>
          <w:b/>
          <w:color w:val="1f5a68"/>
          <w:sz w:val="24"/>
          <w:szCs w:val="24"/>
        </w:rPr>
        <w:t xml:space="preserve">REFERÊNCIAS</w:t>
      </w:r>
      <w:r>
        <w:rPr>
          <w:sz w:val="24"/>
          <w:szCs w:val="24"/>
        </w:rPr>
      </w:r>
    </w:p>
    <w:p>
      <w:pPr>
        <w:pBdr/>
        <w:spacing w:after="16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AHMED, Khaled E. We're going digital: the current state of CAD/CAM dentistry in prosthodontics. Primary Dental Journal, v. 7, n. </w:t>
      </w:r>
      <w:r>
        <w:rPr>
          <w:sz w:val="24"/>
          <w:szCs w:val="24"/>
        </w:rPr>
        <w:t xml:space="preserve">2, p. 30-35, 2018. DOI: </w:t>
      </w:r>
      <w:hyperlink r:id="rId13" w:tooltip="https://doi.org/10.1177/205016841800700205" w:history="1">
        <w:r>
          <w:rPr>
            <w:color w:val="1f5a68"/>
            <w:sz w:val="24"/>
            <w:szCs w:val="24"/>
          </w:rPr>
          <w:t xml:space="preserve">https://doi.org/10.1177/205016841800700205</w:t>
        </w:r>
      </w:hyperlink>
      <w:r>
        <w:rPr>
          <w:sz w:val="24"/>
          <w:szCs w:val="24"/>
        </w:rPr>
        <w:t xml:space="preserve">. Acesso em: 20 jul. 2026.</w:t>
      </w:r>
      <w:r>
        <w:rPr>
          <w:sz w:val="24"/>
          <w:szCs w:val="24"/>
        </w:rPr>
      </w:r>
    </w:p>
    <w:p>
      <w:pPr>
        <w:pBdr/>
        <w:spacing w:after="16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BERNAUER, Selina A.; ZITZMANN, Nicola U.; JODA, Tim. The complete digital workflow in fixed prosthodo</w:t>
      </w:r>
      <w:r>
        <w:rPr>
          <w:sz w:val="24"/>
          <w:szCs w:val="24"/>
        </w:rPr>
        <w:t xml:space="preserve">ntics updated: a systematic review. Healthcare, v. 11, n. 5, art. 679, 2023. DOI: </w:t>
      </w:r>
      <w:hyperlink r:id="rId14" w:tooltip="https://doi.org/10.3390/healthcare11050679" w:history="1">
        <w:r>
          <w:rPr>
            <w:color w:val="1f5a68"/>
            <w:sz w:val="24"/>
            <w:szCs w:val="24"/>
          </w:rPr>
          <w:t xml:space="preserve">https://doi.org/10.3390/healthcare11050679</w:t>
        </w:r>
      </w:hyperlink>
      <w:r>
        <w:rPr>
          <w:sz w:val="24"/>
          <w:szCs w:val="24"/>
        </w:rPr>
        <w:t xml:space="preserve">. Acesso em: 20 jul. 2026.</w:t>
      </w:r>
      <w:r>
        <w:rPr>
          <w:sz w:val="24"/>
          <w:szCs w:val="24"/>
        </w:rPr>
      </w:r>
    </w:p>
    <w:p>
      <w:pPr>
        <w:pBdr/>
        <w:spacing w:after="20" w:before="100"/>
        <w:ind/>
        <w:rPr/>
      </w:pPr>
      <w:r>
        <w:rPr>
          <w:sz w:val="24"/>
          <w:szCs w:val="24"/>
        </w:rPr>
        <w:t xml:space="preserve">SIQUEIRA, Rafael et al. Intraoral scanning </w:t>
      </w:r>
      <w:r>
        <w:rPr>
          <w:sz w:val="24"/>
          <w:szCs w:val="24"/>
        </w:rPr>
        <w:t xml:space="preserve">reduces procedure time and improves patient comfort in fixed prosthodontics and implant dentistry: a systematic review. Clinical Oral Investigations, v. 25, n. 12, p. 6517-6531, 2021. DOI: </w:t>
      </w:r>
      <w:hyperlink r:id="rId15" w:tooltip="https://doi.org/10.1007/s00784-021-04157-3" w:history="1">
        <w:r>
          <w:rPr>
            <w:color w:val="1f5a68"/>
            <w:sz w:val="24"/>
            <w:szCs w:val="24"/>
          </w:rPr>
          <w:t xml:space="preserve">https</w:t>
        </w:r>
        <w:r>
          <w:rPr>
            <w:color w:val="1f5a68"/>
            <w:sz w:val="24"/>
            <w:szCs w:val="24"/>
          </w:rPr>
          <w:t xml:space="preserve">://doi.org/10.1007/s00784-021-04157-3</w:t>
        </w:r>
      </w:hyperlink>
      <w:r>
        <w:rPr>
          <w:sz w:val="24"/>
          <w:szCs w:val="24"/>
        </w:rPr>
        <w:t xml:space="preserve">. Acesso em: 20 jul. 2026.</w:t>
      </w:r>
      <w:r>
        <w:rPr>
          <w:sz w:val="24"/>
          <w:szCs w:val="24"/>
        </w:rPr>
        <w:br/>
      </w:r>
      <w:r/>
    </w:p>
    <w:p>
      <w:pPr>
        <w:pBdr/>
        <w:spacing w:after="16" w:line="240" w:lineRule="auto"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822" w:right="992" w:bottom="765" w:left="992" w:header="283" w:footer="312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0"/>
      <w:pBdr/>
      <w:spacing/>
      <w:ind/>
      <w:jc w:val="center"/>
      <w:rPr/>
    </w:pPr>
    <w:r>
      <w:rPr>
        <w:color w:val="646464"/>
        <w:sz w:val="14"/>
      </w:rPr>
      <w:t xml:space="preserve">Material editorial preparado pela Guia-se Natal Tirol para a Indústria Primav</w:t>
    </w:r>
    <w:r>
      <w:rPr>
        <w:color w:val="646464"/>
        <w:sz w:val="14"/>
      </w:rPr>
      <w:t xml:space="preserve">ita | Recomenda-se revisão técnica antes da publicação.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8"/>
      <w:pBdr/>
      <w:spacing/>
      <w:ind/>
      <w:jc w:val="right"/>
      <w:rPr/>
    </w:pPr>
    <w:r>
      <w:rPr>
        <w:b/>
        <w:color w:val="1f5a68"/>
        <w:sz w:val="15"/>
      </w:rPr>
      <w:t xml:space="preserve">CONTEÚDO TÉCNICO-CIENTÍFICO | BLOG PRIMAVITA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8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8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8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8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8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8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55"/>
    <w:link w:val="7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55"/>
    <w:link w:val="7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55"/>
    <w:link w:val="7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55"/>
    <w:link w:val="7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55"/>
    <w:link w:val="7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55"/>
    <w:link w:val="7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55"/>
    <w:link w:val="7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55"/>
    <w:link w:val="7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55"/>
    <w:link w:val="7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55"/>
    <w:link w:val="7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55"/>
    <w:link w:val="7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55"/>
    <w:link w:val="79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55"/>
    <w:link w:val="80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55"/>
    <w:link w:val="758"/>
    <w:uiPriority w:val="99"/>
    <w:pPr>
      <w:pBdr/>
      <w:spacing/>
      <w:ind/>
    </w:pPr>
  </w:style>
  <w:style w:type="character" w:styleId="179">
    <w:name w:val="Footer Char"/>
    <w:basedOn w:val="755"/>
    <w:link w:val="760"/>
    <w:uiPriority w:val="99"/>
    <w:pPr>
      <w:pBdr/>
      <w:spacing/>
      <w:ind/>
    </w:pPr>
  </w:style>
  <w:style w:type="paragraph" w:styleId="181">
    <w:name w:val="footnote text"/>
    <w:basedOn w:val="74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5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5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5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5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5"/>
    <w:next w:val="745"/>
    <w:uiPriority w:val="39"/>
    <w:unhideWhenUsed/>
    <w:pPr>
      <w:pBdr/>
      <w:spacing w:after="100"/>
      <w:ind/>
    </w:pPr>
  </w:style>
  <w:style w:type="paragraph" w:styleId="190">
    <w:name w:val="toc 2"/>
    <w:basedOn w:val="745"/>
    <w:next w:val="745"/>
    <w:uiPriority w:val="39"/>
    <w:unhideWhenUsed/>
    <w:pPr>
      <w:pBdr/>
      <w:spacing w:after="100"/>
      <w:ind w:left="220"/>
    </w:pPr>
  </w:style>
  <w:style w:type="paragraph" w:styleId="191">
    <w:name w:val="toc 3"/>
    <w:basedOn w:val="745"/>
    <w:next w:val="745"/>
    <w:uiPriority w:val="39"/>
    <w:unhideWhenUsed/>
    <w:pPr>
      <w:pBdr/>
      <w:spacing w:after="100"/>
      <w:ind w:left="440"/>
    </w:pPr>
  </w:style>
  <w:style w:type="paragraph" w:styleId="192">
    <w:name w:val="toc 4"/>
    <w:basedOn w:val="745"/>
    <w:next w:val="745"/>
    <w:uiPriority w:val="39"/>
    <w:unhideWhenUsed/>
    <w:pPr>
      <w:pBdr/>
      <w:spacing w:after="100"/>
      <w:ind w:left="660"/>
    </w:pPr>
  </w:style>
  <w:style w:type="paragraph" w:styleId="193">
    <w:name w:val="toc 5"/>
    <w:basedOn w:val="745"/>
    <w:next w:val="745"/>
    <w:uiPriority w:val="39"/>
    <w:unhideWhenUsed/>
    <w:pPr>
      <w:pBdr/>
      <w:spacing w:after="100"/>
      <w:ind w:left="880"/>
    </w:pPr>
  </w:style>
  <w:style w:type="paragraph" w:styleId="194">
    <w:name w:val="toc 6"/>
    <w:basedOn w:val="745"/>
    <w:next w:val="745"/>
    <w:uiPriority w:val="39"/>
    <w:unhideWhenUsed/>
    <w:pPr>
      <w:pBdr/>
      <w:spacing w:after="100"/>
      <w:ind w:left="1100"/>
    </w:pPr>
  </w:style>
  <w:style w:type="paragraph" w:styleId="195">
    <w:name w:val="toc 7"/>
    <w:basedOn w:val="745"/>
    <w:next w:val="745"/>
    <w:uiPriority w:val="39"/>
    <w:unhideWhenUsed/>
    <w:pPr>
      <w:pBdr/>
      <w:spacing w:after="100"/>
      <w:ind w:left="1320"/>
    </w:pPr>
  </w:style>
  <w:style w:type="paragraph" w:styleId="196">
    <w:name w:val="toc 8"/>
    <w:basedOn w:val="745"/>
    <w:next w:val="745"/>
    <w:uiPriority w:val="39"/>
    <w:unhideWhenUsed/>
    <w:pPr>
      <w:pBdr/>
      <w:spacing w:after="100"/>
      <w:ind w:left="1540"/>
    </w:pPr>
  </w:style>
  <w:style w:type="paragraph" w:styleId="197">
    <w:name w:val="toc 9"/>
    <w:basedOn w:val="745"/>
    <w:next w:val="74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55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45"/>
    <w:next w:val="745"/>
    <w:uiPriority w:val="99"/>
    <w:unhideWhenUsed/>
    <w:pPr>
      <w:pBdr/>
      <w:spacing w:after="0" w:afterAutospacing="0"/>
      <w:ind/>
    </w:pPr>
  </w:style>
  <w:style w:type="paragraph" w:styleId="745" w:default="1">
    <w:name w:val="Normal"/>
    <w:qFormat/>
    <w:pPr>
      <w:pBdr/>
      <w:spacing w:after="70" w:line="257" w:lineRule="auto"/>
      <w:ind/>
      <w:jc w:val="both"/>
    </w:pPr>
    <w:rPr>
      <w:rFonts w:ascii="Arial" w:hAnsi="Arial" w:eastAsia="Arial"/>
      <w:sz w:val="20"/>
    </w:rPr>
  </w:style>
  <w:style w:type="paragraph" w:styleId="746">
    <w:name w:val="Heading 1"/>
    <w:basedOn w:val="745"/>
    <w:next w:val="745"/>
    <w:link w:val="763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47">
    <w:name w:val="Heading 2"/>
    <w:basedOn w:val="745"/>
    <w:next w:val="745"/>
    <w:link w:val="764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48">
    <w:name w:val="Heading 3"/>
    <w:basedOn w:val="745"/>
    <w:next w:val="745"/>
    <w:link w:val="765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49">
    <w:name w:val="Heading 4"/>
    <w:basedOn w:val="745"/>
    <w:next w:val="745"/>
    <w:link w:val="793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50">
    <w:name w:val="Heading 5"/>
    <w:basedOn w:val="745"/>
    <w:next w:val="745"/>
    <w:link w:val="794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51">
    <w:name w:val="Heading 6"/>
    <w:basedOn w:val="745"/>
    <w:next w:val="745"/>
    <w:link w:val="795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52">
    <w:name w:val="Heading 7"/>
    <w:basedOn w:val="745"/>
    <w:next w:val="745"/>
    <w:link w:val="796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53">
    <w:name w:val="Heading 8"/>
    <w:basedOn w:val="745"/>
    <w:next w:val="745"/>
    <w:link w:val="797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754">
    <w:name w:val="Heading 9"/>
    <w:basedOn w:val="745"/>
    <w:next w:val="745"/>
    <w:link w:val="798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755" w:default="1">
    <w:name w:val="Default Paragraph Font"/>
    <w:uiPriority w:val="1"/>
    <w:semiHidden/>
    <w:unhideWhenUsed/>
    <w:pPr>
      <w:pBdr/>
      <w:spacing/>
      <w:ind/>
    </w:pPr>
  </w:style>
  <w:style w:type="table" w:styleId="75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7" w:default="1">
    <w:name w:val="No List"/>
    <w:uiPriority w:val="99"/>
    <w:semiHidden/>
    <w:unhideWhenUsed/>
    <w:pPr>
      <w:pBdr/>
      <w:spacing/>
      <w:ind/>
    </w:pPr>
  </w:style>
  <w:style w:type="paragraph" w:styleId="758">
    <w:name w:val="Header"/>
    <w:basedOn w:val="745"/>
    <w:link w:val="75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59" w:customStyle="1">
    <w:name w:val="Cabeçalho Char"/>
    <w:basedOn w:val="755"/>
    <w:link w:val="758"/>
    <w:uiPriority w:val="99"/>
    <w:pPr>
      <w:pBdr/>
      <w:spacing/>
      <w:ind/>
    </w:pPr>
  </w:style>
  <w:style w:type="paragraph" w:styleId="760">
    <w:name w:val="Footer"/>
    <w:basedOn w:val="745"/>
    <w:link w:val="76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61" w:customStyle="1">
    <w:name w:val="Rodapé Char"/>
    <w:basedOn w:val="755"/>
    <w:link w:val="760"/>
    <w:uiPriority w:val="99"/>
    <w:pPr>
      <w:pBdr/>
      <w:spacing/>
      <w:ind/>
    </w:pPr>
  </w:style>
  <w:style w:type="paragraph" w:styleId="762">
    <w:name w:val="No Spacing"/>
    <w:uiPriority w:val="1"/>
    <w:qFormat/>
    <w:pPr>
      <w:pBdr/>
      <w:spacing w:after="0" w:line="240" w:lineRule="auto"/>
      <w:ind/>
    </w:pPr>
  </w:style>
  <w:style w:type="character" w:styleId="763" w:customStyle="1">
    <w:name w:val="Título 1 Char"/>
    <w:basedOn w:val="755"/>
    <w:link w:val="74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64" w:customStyle="1">
    <w:name w:val="Título 2 Char"/>
    <w:basedOn w:val="755"/>
    <w:link w:val="74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65" w:customStyle="1">
    <w:name w:val="Título 3 Char"/>
    <w:basedOn w:val="755"/>
    <w:link w:val="74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66">
    <w:name w:val="Title"/>
    <w:basedOn w:val="745"/>
    <w:next w:val="745"/>
    <w:link w:val="767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67" w:customStyle="1">
    <w:name w:val="Título Char"/>
    <w:basedOn w:val="755"/>
    <w:link w:val="766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68">
    <w:name w:val="Subtitle"/>
    <w:basedOn w:val="745"/>
    <w:next w:val="745"/>
    <w:link w:val="769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69" w:customStyle="1">
    <w:name w:val="Subtítulo Char"/>
    <w:basedOn w:val="755"/>
    <w:link w:val="768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70">
    <w:name w:val="List Paragraph"/>
    <w:basedOn w:val="745"/>
    <w:uiPriority w:val="34"/>
    <w:qFormat/>
    <w:pPr>
      <w:pBdr/>
      <w:spacing/>
      <w:ind w:left="720"/>
      <w:contextualSpacing w:val="true"/>
    </w:pPr>
  </w:style>
  <w:style w:type="paragraph" w:styleId="771">
    <w:name w:val="Body Text"/>
    <w:basedOn w:val="745"/>
    <w:link w:val="772"/>
    <w:uiPriority w:val="99"/>
    <w:unhideWhenUsed/>
    <w:pPr>
      <w:pBdr/>
      <w:spacing w:after="120"/>
      <w:ind/>
    </w:pPr>
  </w:style>
  <w:style w:type="character" w:styleId="772" w:customStyle="1">
    <w:name w:val="Corpo de texto Char"/>
    <w:basedOn w:val="755"/>
    <w:link w:val="771"/>
    <w:uiPriority w:val="99"/>
    <w:pPr>
      <w:pBdr/>
      <w:spacing/>
      <w:ind/>
    </w:pPr>
  </w:style>
  <w:style w:type="paragraph" w:styleId="773">
    <w:name w:val="Body Text 2"/>
    <w:basedOn w:val="745"/>
    <w:link w:val="774"/>
    <w:uiPriority w:val="99"/>
    <w:unhideWhenUsed/>
    <w:pPr>
      <w:pBdr/>
      <w:spacing w:after="120" w:line="480" w:lineRule="auto"/>
      <w:ind/>
    </w:pPr>
  </w:style>
  <w:style w:type="character" w:styleId="774" w:customStyle="1">
    <w:name w:val="Corpo de texto 2 Char"/>
    <w:basedOn w:val="755"/>
    <w:link w:val="773"/>
    <w:uiPriority w:val="99"/>
    <w:pPr>
      <w:pBdr/>
      <w:spacing/>
      <w:ind/>
    </w:pPr>
  </w:style>
  <w:style w:type="paragraph" w:styleId="775">
    <w:name w:val="Body Text 3"/>
    <w:basedOn w:val="745"/>
    <w:link w:val="776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76" w:customStyle="1">
    <w:name w:val="Corpo de texto 3 Char"/>
    <w:basedOn w:val="755"/>
    <w:link w:val="775"/>
    <w:uiPriority w:val="99"/>
    <w:pPr>
      <w:pBdr/>
      <w:spacing/>
      <w:ind/>
    </w:pPr>
    <w:rPr>
      <w:sz w:val="16"/>
      <w:szCs w:val="16"/>
    </w:rPr>
  </w:style>
  <w:style w:type="paragraph" w:styleId="777">
    <w:name w:val="List"/>
    <w:basedOn w:val="745"/>
    <w:uiPriority w:val="99"/>
    <w:unhideWhenUsed/>
    <w:pPr>
      <w:pBdr/>
      <w:spacing/>
      <w:ind w:hanging="360" w:left="360"/>
      <w:contextualSpacing w:val="true"/>
    </w:pPr>
  </w:style>
  <w:style w:type="paragraph" w:styleId="778">
    <w:name w:val="List 2"/>
    <w:basedOn w:val="745"/>
    <w:uiPriority w:val="99"/>
    <w:unhideWhenUsed/>
    <w:pPr>
      <w:pBdr/>
      <w:spacing/>
      <w:ind w:hanging="360" w:left="720"/>
      <w:contextualSpacing w:val="true"/>
    </w:pPr>
  </w:style>
  <w:style w:type="paragraph" w:styleId="779">
    <w:name w:val="List 3"/>
    <w:basedOn w:val="745"/>
    <w:uiPriority w:val="99"/>
    <w:unhideWhenUsed/>
    <w:pPr>
      <w:pBdr/>
      <w:spacing/>
      <w:ind w:hanging="360" w:left="1080"/>
      <w:contextualSpacing w:val="true"/>
    </w:pPr>
  </w:style>
  <w:style w:type="paragraph" w:styleId="780">
    <w:name w:val="List Bullet"/>
    <w:basedOn w:val="745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81">
    <w:name w:val="List Bullet 2"/>
    <w:basedOn w:val="745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82">
    <w:name w:val="List Bullet 3"/>
    <w:basedOn w:val="745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83">
    <w:name w:val="List Number"/>
    <w:basedOn w:val="745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84">
    <w:name w:val="List Number 2"/>
    <w:basedOn w:val="745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85">
    <w:name w:val="List Number 3"/>
    <w:basedOn w:val="745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86">
    <w:name w:val="List Continue"/>
    <w:basedOn w:val="745"/>
    <w:uiPriority w:val="99"/>
    <w:unhideWhenUsed/>
    <w:pPr>
      <w:pBdr/>
      <w:spacing w:after="120"/>
      <w:ind w:left="360"/>
      <w:contextualSpacing w:val="true"/>
    </w:pPr>
  </w:style>
  <w:style w:type="paragraph" w:styleId="787">
    <w:name w:val="List Continue 2"/>
    <w:basedOn w:val="745"/>
    <w:uiPriority w:val="99"/>
    <w:unhideWhenUsed/>
    <w:pPr>
      <w:pBdr/>
      <w:spacing w:after="120"/>
      <w:ind w:left="720"/>
      <w:contextualSpacing w:val="true"/>
    </w:pPr>
  </w:style>
  <w:style w:type="paragraph" w:styleId="788">
    <w:name w:val="List Continue 3"/>
    <w:basedOn w:val="745"/>
    <w:uiPriority w:val="99"/>
    <w:unhideWhenUsed/>
    <w:pPr>
      <w:pBdr/>
      <w:spacing w:after="120"/>
      <w:ind w:left="1080"/>
      <w:contextualSpacing w:val="true"/>
    </w:pPr>
  </w:style>
  <w:style w:type="paragraph" w:styleId="789">
    <w:name w:val="macro"/>
    <w:link w:val="790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90" w:customStyle="1">
    <w:name w:val="Texto de macro Char"/>
    <w:basedOn w:val="755"/>
    <w:link w:val="789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91">
    <w:name w:val="Quote"/>
    <w:basedOn w:val="745"/>
    <w:next w:val="745"/>
    <w:link w:val="792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92" w:customStyle="1">
    <w:name w:val="Citação Char"/>
    <w:basedOn w:val="755"/>
    <w:link w:val="791"/>
    <w:uiPriority w:val="29"/>
    <w:pPr>
      <w:pBdr/>
      <w:spacing/>
      <w:ind/>
    </w:pPr>
    <w:rPr>
      <w:i/>
      <w:iCs/>
      <w:color w:val="000000" w:themeColor="text1"/>
    </w:rPr>
  </w:style>
  <w:style w:type="character" w:styleId="793" w:customStyle="1">
    <w:name w:val="Título 4 Char"/>
    <w:basedOn w:val="755"/>
    <w:link w:val="74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94" w:customStyle="1">
    <w:name w:val="Título 5 Char"/>
    <w:basedOn w:val="755"/>
    <w:link w:val="75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95" w:customStyle="1">
    <w:name w:val="Título 6 Char"/>
    <w:basedOn w:val="755"/>
    <w:link w:val="75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96" w:customStyle="1">
    <w:name w:val="Título 7 Char"/>
    <w:basedOn w:val="755"/>
    <w:link w:val="75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97" w:customStyle="1">
    <w:name w:val="Título 8 Char"/>
    <w:basedOn w:val="755"/>
    <w:link w:val="75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98" w:customStyle="1">
    <w:name w:val="Título 9 Char"/>
    <w:basedOn w:val="755"/>
    <w:link w:val="75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99">
    <w:name w:val="Caption"/>
    <w:basedOn w:val="745"/>
    <w:next w:val="745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00">
    <w:name w:val="Strong"/>
    <w:basedOn w:val="755"/>
    <w:uiPriority w:val="22"/>
    <w:qFormat/>
    <w:pPr>
      <w:pBdr/>
      <w:spacing/>
      <w:ind/>
    </w:pPr>
    <w:rPr>
      <w:b/>
      <w:bCs/>
    </w:rPr>
  </w:style>
  <w:style w:type="character" w:styleId="801">
    <w:name w:val="Emphasis"/>
    <w:basedOn w:val="755"/>
    <w:uiPriority w:val="20"/>
    <w:qFormat/>
    <w:pPr>
      <w:pBdr/>
      <w:spacing/>
      <w:ind/>
    </w:pPr>
    <w:rPr>
      <w:i/>
      <w:iCs/>
    </w:rPr>
  </w:style>
  <w:style w:type="paragraph" w:styleId="802">
    <w:name w:val="Intense Quote"/>
    <w:basedOn w:val="745"/>
    <w:next w:val="745"/>
    <w:link w:val="803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03" w:customStyle="1">
    <w:name w:val="Citação Intensa Char"/>
    <w:basedOn w:val="755"/>
    <w:link w:val="802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04">
    <w:name w:val="Subtle Emphasis"/>
    <w:basedOn w:val="755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05">
    <w:name w:val="Intense Emphasis"/>
    <w:basedOn w:val="755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06">
    <w:name w:val="Subtle Reference"/>
    <w:basedOn w:val="755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07">
    <w:name w:val="Intense Reference"/>
    <w:basedOn w:val="755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08">
    <w:name w:val="Book Title"/>
    <w:basedOn w:val="755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09">
    <w:name w:val="TOC Heading"/>
    <w:basedOn w:val="746"/>
    <w:next w:val="745"/>
    <w:uiPriority w:val="39"/>
    <w:semiHidden/>
    <w:unhideWhenUsed/>
    <w:qFormat/>
    <w:pPr>
      <w:pBdr/>
      <w:spacing/>
      <w:ind/>
      <w:outlineLvl w:val="9"/>
    </w:pPr>
  </w:style>
  <w:style w:type="table" w:styleId="810">
    <w:name w:val="Table Grid"/>
    <w:basedOn w:val="756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ght Shading"/>
    <w:basedOn w:val="756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ght Shading Accent 1"/>
    <w:basedOn w:val="756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ght Shading Accent 2"/>
    <w:basedOn w:val="756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ght Shading Accent 3"/>
    <w:basedOn w:val="756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ght Shading Accent 4"/>
    <w:basedOn w:val="756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ght Shading Accent 5"/>
    <w:basedOn w:val="756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ght Shading Accent 6"/>
    <w:basedOn w:val="756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ght List"/>
    <w:basedOn w:val="75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ght List Accent 1"/>
    <w:basedOn w:val="75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ght List Accent 2"/>
    <w:basedOn w:val="75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ght List Accent 3"/>
    <w:basedOn w:val="75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ght List Accent 4"/>
    <w:basedOn w:val="75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ght List Accent 5"/>
    <w:basedOn w:val="75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ght List Accent 6"/>
    <w:basedOn w:val="75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ght Grid"/>
    <w:basedOn w:val="75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ght Grid Accent 1"/>
    <w:basedOn w:val="75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ght Grid Accent 2"/>
    <w:basedOn w:val="75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ght Grid Accent 3"/>
    <w:basedOn w:val="75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ght Grid Accent 4"/>
    <w:basedOn w:val="75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ght Grid Accent 5"/>
    <w:basedOn w:val="75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ght Grid Accent 6"/>
    <w:basedOn w:val="75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Shading 1"/>
    <w:basedOn w:val="75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Shading 1 Accent 1"/>
    <w:basedOn w:val="75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Shading 1 Accent 2"/>
    <w:basedOn w:val="75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Shading 1 Accent 3"/>
    <w:basedOn w:val="75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Shading 1 Accent 4"/>
    <w:basedOn w:val="75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Shading 1 Accent 5"/>
    <w:basedOn w:val="75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Shading 1 Accent 6"/>
    <w:basedOn w:val="75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Shading 2"/>
    <w:basedOn w:val="75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Shading 2 Accent 1"/>
    <w:basedOn w:val="75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Shading 2 Accent 2"/>
    <w:basedOn w:val="75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Shading 2 Accent 3"/>
    <w:basedOn w:val="75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Shading 2 Accent 4"/>
    <w:basedOn w:val="75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Medium Shading 2 Accent 5"/>
    <w:basedOn w:val="75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Medium Shading 2 Accent 6"/>
    <w:basedOn w:val="75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Medium List 1"/>
    <w:basedOn w:val="75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Medium List 1 Accent 1"/>
    <w:basedOn w:val="75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List 1 Accent 2"/>
    <w:basedOn w:val="75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List 1 Accent 3"/>
    <w:basedOn w:val="75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List 1 Accent 4"/>
    <w:basedOn w:val="75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List 1 Accent 5"/>
    <w:basedOn w:val="75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List 1 Accent 6"/>
    <w:basedOn w:val="75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List 2"/>
    <w:basedOn w:val="75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List 2 Accent 1"/>
    <w:basedOn w:val="75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List 2 Accent 2"/>
    <w:basedOn w:val="75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List 2 Accent 3"/>
    <w:basedOn w:val="75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List 2 Accent 4"/>
    <w:basedOn w:val="75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List 2 Accent 5"/>
    <w:basedOn w:val="75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List 2 Accent 6"/>
    <w:basedOn w:val="75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Medium Grid 1"/>
    <w:basedOn w:val="75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Medium Grid 1 Accent 1"/>
    <w:basedOn w:val="75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Medium Grid 1 Accent 2"/>
    <w:basedOn w:val="75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Medium Grid 1 Accent 3"/>
    <w:basedOn w:val="75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Medium Grid 1 Accent 4"/>
    <w:basedOn w:val="75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Medium Grid 1 Accent 5"/>
    <w:basedOn w:val="75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Medium Grid 1 Accent 6"/>
    <w:basedOn w:val="75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Medium Grid 2"/>
    <w:basedOn w:val="75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Medium Grid 2 Accent 1"/>
    <w:basedOn w:val="75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Medium Grid 2 Accent 2"/>
    <w:basedOn w:val="75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Medium Grid 2 Accent 3"/>
    <w:basedOn w:val="75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Medium Grid 2 Accent 4"/>
    <w:basedOn w:val="75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Medium Grid 2 Accent 5"/>
    <w:basedOn w:val="75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Medium Grid 2 Accent 6"/>
    <w:basedOn w:val="75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Medium Grid 3"/>
    <w:basedOn w:val="75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Medium Grid 3 Accent 1"/>
    <w:basedOn w:val="75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Medium Grid 3 Accent 2"/>
    <w:basedOn w:val="75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Medium Grid 3 Accent 3"/>
    <w:basedOn w:val="75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Medium Grid 3 Accent 4"/>
    <w:basedOn w:val="75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Medium Grid 3 Accent 5"/>
    <w:basedOn w:val="75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Medium Grid 3 Accent 6"/>
    <w:basedOn w:val="75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Dark List"/>
    <w:basedOn w:val="75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Dark List Accent 1"/>
    <w:basedOn w:val="75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Dark List Accent 2"/>
    <w:basedOn w:val="75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Dark List Accent 3"/>
    <w:basedOn w:val="75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Dark List Accent 4"/>
    <w:basedOn w:val="75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Dark List Accent 5"/>
    <w:basedOn w:val="75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Dark List Accent 6"/>
    <w:basedOn w:val="75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Colorful Shading"/>
    <w:basedOn w:val="75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Colorful Shading Accent 1"/>
    <w:basedOn w:val="75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Colorful Shading Accent 2"/>
    <w:basedOn w:val="75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Colorful Shading Accent 3"/>
    <w:basedOn w:val="75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Colorful Shading Accent 4"/>
    <w:basedOn w:val="75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Colorful Shading Accent 5"/>
    <w:basedOn w:val="75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Colorful Shading Accent 6"/>
    <w:basedOn w:val="75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Colorful List"/>
    <w:basedOn w:val="75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Colorful List Accent 1"/>
    <w:basedOn w:val="75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Colorful List Accent 2"/>
    <w:basedOn w:val="75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Colorful List Accent 3"/>
    <w:basedOn w:val="75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Colorful List Accent 4"/>
    <w:basedOn w:val="75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Colorful List Accent 5"/>
    <w:basedOn w:val="75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Colorful List Accent 6"/>
    <w:basedOn w:val="75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Colorful Grid"/>
    <w:basedOn w:val="75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Colorful Grid Accent 1"/>
    <w:basedOn w:val="75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Colorful Grid Accent 2"/>
    <w:basedOn w:val="75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Colorful Grid Accent 3"/>
    <w:basedOn w:val="75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Colorful Grid Accent 4"/>
    <w:basedOn w:val="75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Colorful Grid Accent 5"/>
    <w:basedOn w:val="75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Colorful Grid Accent 6"/>
    <w:basedOn w:val="75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hyperlink" Target="https://doi.org/10.1177/205016841800700205" TargetMode="External"/><Relationship Id="rId14" Type="http://schemas.openxmlformats.org/officeDocument/2006/relationships/hyperlink" Target="https://doi.org/10.3390/healthcare11050679" TargetMode="External"/><Relationship Id="rId15" Type="http://schemas.openxmlformats.org/officeDocument/2006/relationships/hyperlink" Target="https://doi.org/10.1007/s00784-021-04157-3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DEC04764-1BA7-42A3-A917-CE7F8856B674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 analógico ao digital: como o fluxo protético está mudando</dc:title>
  <dc:subject>Artigo técnico-científico para o Blog Primavita</dc:subject>
  <dc:creator>Guia-se Natal Tirol</dc:creator>
  <cp:keywords>Primavita, prótese dentária, fluxo digital, CAD/CAM, TPD</cp:keywords>
  <dc:description>Conteúdo editorial técnico-científico</dc:description>
  <cp:revision>6</cp:revision>
  <dcterms:created xsi:type="dcterms:W3CDTF">2013-12-23T23:15:00Z</dcterms:created>
  <dcterms:modified xsi:type="dcterms:W3CDTF">2026-07-21T14:44:02Z</dcterms:modified>
  <cp:category/>
</cp:coreProperties>
</file>