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Rule="auto"/>
        <w:rPr>
          <w:b w:val="1"/>
          <w:color w:val="1c2b33"/>
          <w:sz w:val="35"/>
          <w:szCs w:val="35"/>
        </w:rPr>
      </w:pPr>
      <w:bookmarkStart w:colFirst="0" w:colLast="0" w:name="_w1e1om3win5z" w:id="0"/>
      <w:bookmarkEnd w:id="0"/>
      <w:r w:rsidDel="00000000" w:rsidR="00000000" w:rsidRPr="00000000">
        <w:rPr>
          <w:b w:val="1"/>
          <w:color w:val="1c2b33"/>
          <w:sz w:val="35"/>
          <w:szCs w:val="35"/>
          <w:rtl w:val="0"/>
        </w:rPr>
        <w:t xml:space="preserve">Diagrama de Infraestructura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c2b33"/>
          <w:sz w:val="23"/>
          <w:szCs w:val="23"/>
        </w:rPr>
      </w:pPr>
      <w:r w:rsidDel="00000000" w:rsidR="00000000" w:rsidRPr="00000000">
        <w:rPr>
          <w:color w:val="1c2b33"/>
          <w:sz w:val="23"/>
          <w:szCs w:val="23"/>
          <w:rtl w:val="0"/>
        </w:rPr>
        <w:t xml:space="preserve">El diagrama de infraestructura muestra la estructura física de la aplicación, incluyendo los servidores, bases de datos, redes y otros componentes de infraestructura.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Servidores: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Servidor web (Apache o Nginx)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Servidor de aplicaciones (Java o Python)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Servidor de base de datos (MySQL o PostgreSQL)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Bases de datos: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Base de datos de usuarios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Base de datos de tareas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Redes: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Red de área local (LAN)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Conexión a Internet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Otros componentes: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Firewall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48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Sistema de detección de intrusos (IDS)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Rule="auto"/>
        <w:rPr>
          <w:b w:val="1"/>
          <w:color w:val="1c2b33"/>
          <w:sz w:val="35"/>
          <w:szCs w:val="35"/>
        </w:rPr>
      </w:pPr>
      <w:bookmarkStart w:colFirst="0" w:colLast="0" w:name="_2fgacoardbq2" w:id="1"/>
      <w:bookmarkEnd w:id="1"/>
      <w:r w:rsidDel="00000000" w:rsidR="00000000" w:rsidRPr="00000000">
        <w:rPr>
          <w:b w:val="1"/>
          <w:color w:val="1c2b33"/>
          <w:sz w:val="35"/>
          <w:szCs w:val="35"/>
          <w:rtl w:val="0"/>
        </w:rPr>
        <w:t xml:space="preserve">Diagrama de Componentes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c2b33"/>
          <w:sz w:val="23"/>
          <w:szCs w:val="23"/>
        </w:rPr>
      </w:pPr>
      <w:r w:rsidDel="00000000" w:rsidR="00000000" w:rsidRPr="00000000">
        <w:rPr>
          <w:color w:val="1c2b33"/>
          <w:sz w:val="23"/>
          <w:szCs w:val="23"/>
          <w:rtl w:val="0"/>
        </w:rPr>
        <w:t xml:space="preserve">El diagrama de componentes muestra la estructura lógica de la aplicación, incluyendo los componentes de software y sus interacciones.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Componentes de software: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Módulo de autenticación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Módulo de gestión de tareas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Módulo de notificaciones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Módulo de informes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Interacciones entre componentes: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El módulo de autenticación se comunica con la base de datos de usuarios para verificar las credenciales de los usuarios.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El módulo de gestión de tareas se comunica con la base de datos de tareas para crear, editar y eliminar tareas.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48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El módulo de notificaciones se comunica con el módulo de gestión de tareas para enviar notificaciones a los usuarios cuando se crean o actualizan tareas.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Rule="auto"/>
        <w:rPr>
          <w:b w:val="1"/>
          <w:color w:val="1c2b33"/>
          <w:sz w:val="35"/>
          <w:szCs w:val="35"/>
        </w:rPr>
      </w:pPr>
      <w:bookmarkStart w:colFirst="0" w:colLast="0" w:name="_58xrugfeko15" w:id="2"/>
      <w:bookmarkEnd w:id="2"/>
      <w:r w:rsidDel="00000000" w:rsidR="00000000" w:rsidRPr="00000000">
        <w:rPr>
          <w:b w:val="1"/>
          <w:color w:val="1c2b33"/>
          <w:sz w:val="35"/>
          <w:szCs w:val="35"/>
          <w:rtl w:val="0"/>
        </w:rPr>
        <w:t xml:space="preserve">Diagrama de Base de Datos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c2b33"/>
          <w:sz w:val="23"/>
          <w:szCs w:val="23"/>
        </w:rPr>
      </w:pPr>
      <w:r w:rsidDel="00000000" w:rsidR="00000000" w:rsidRPr="00000000">
        <w:rPr>
          <w:color w:val="1c2b33"/>
          <w:sz w:val="23"/>
          <w:szCs w:val="23"/>
          <w:rtl w:val="0"/>
        </w:rPr>
        <w:t xml:space="preserve">El diagrama de base de datos muestra la estructura de las bases de datos, incluyendo las tablas, campos y relaciones entre ellas.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Base de datos de usuarios: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Tabla de usuarios: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ID de usuario (clave primaria)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Nombre de usuario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Contraseña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Correo electrónico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Tabla de roles: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ID de rol (clave primaria)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Nombre de rol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Descripción de rol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Relación entre usuarios y roles: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Un usuario puede tener varios roles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Un rol puede ser asignado a varios usuarios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Base de datos de tareas: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Tabla de tareas: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ID de tarea (clave primaria)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Título de tarea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Descripción de tarea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Fecha de inicio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Fecha de fin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Prioridad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Tabla de asignaciones de tareas: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ID de asignación (clave primaria)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ID de tarea (clave foránea)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ID de usuario (clave foránea)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Fecha de asignación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Relación entre tareas y asignaciones de tareas: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Una tarea puede tener varias asignaciones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720" w:before="0" w:beforeAutospacing="0" w:lineRule="auto"/>
        <w:ind w:left="2160" w:hanging="360"/>
      </w:pPr>
      <w:r w:rsidDel="00000000" w:rsidR="00000000" w:rsidRPr="00000000">
        <w:rPr>
          <w:color w:val="1c2b33"/>
          <w:sz w:val="23"/>
          <w:szCs w:val="23"/>
          <w:highlight w:val="white"/>
          <w:rtl w:val="0"/>
        </w:rPr>
        <w:t xml:space="preserve">Una asignación de tarea se refiere a una tarea específica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c2b33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c2b33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1c2b33"/>
        <w:sz w:val="23"/>
        <w:szCs w:val="23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c2b33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