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Below is a practical, Illinois-specific “playbook” for the next five-plus years and the first phase of retirement. The steps are grouped by topic so you can turn them into a checklist and calendar.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A. Maximize the “last big funding window” (ages 55-60)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Employer plan catch-up contributions</w:t>
            </w:r>
            <w:r>
              <w:t xml:space="preserve"> </w:t>
            </w:r>
            <w:r>
              <w:t xml:space="preserve">• 401(k) / 403(b) / most 457(b): Regular limit is $23,000 for 2024; age-50+ catch-up lets you add another $7,500, for a total of $30,500.</w:t>
            </w:r>
            <w:r>
              <w:t xml:space="preserve"> </w:t>
            </w:r>
            <w:r>
              <w:t xml:space="preserve">• Verify that McKinsey’s plan actually offers catch-ups and, if you have access to both traditional and Roth buckets, decide each year which to use (see Section C on bracket management).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IRA catch-ups</w:t>
            </w:r>
            <w:r>
              <w:t xml:space="preserve"> </w:t>
            </w:r>
            <w:r>
              <w:t xml:space="preserve">• You can put up to $8,000 ($7,000 + $1,000 catch-up) into a Traditional or Roth IRA for 2024.</w:t>
            </w:r>
            <w:r>
              <w:t xml:space="preserve"> </w:t>
            </w:r>
            <w:r>
              <w:t xml:space="preserve">• If your income is too high for a direct Roth, use the “back-door” Roth (non-deductible Traditional IRA → same-day conversion).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Health Savings Account (HSA) “extra” contributions</w:t>
            </w:r>
            <w:r>
              <w:t xml:space="preserve"> </w:t>
            </w:r>
            <w:r>
              <w:t xml:space="preserve">• You can add +$1,000 catch-up once you are 55, bringing 2024 family HSA space to $9,300.</w:t>
            </w:r>
            <w:r>
              <w:t xml:space="preserve"> </w:t>
            </w:r>
            <w:r>
              <w:t xml:space="preserve">• Pay current medical expenses out of pocket and let the HSA grow tax-free for retirement health costs.</w:t>
            </w:r>
          </w:p>
        </w:tc>
      </w:tr>
    </w:tbl>
    <w:bookmarkStart w:id="20" w:name="b.-map-out-your-cash-flow-timeline"/>
    <w:p>
      <w:pPr>
        <w:pStyle w:val="Heading2"/>
      </w:pPr>
      <w:r>
        <w:t xml:space="preserve">B. Map out your cash-flow timeline</w:t>
      </w:r>
    </w:p>
    <w:p>
      <w:pPr>
        <w:pStyle w:val="FirstParagraph"/>
      </w:pPr>
      <w:r>
        <w:t xml:space="preserve">Age 55–59½</w:t>
      </w:r>
      <w:r>
        <w:br/>
      </w:r>
      <w:r>
        <w:t xml:space="preserve">• 401(k) “Rule of 55.” Because you will separate from service in the calendar year you turn 60, any distributions you take from that 401(k) can avoid the 10 % early-withdrawal penalty, even before 59½. (IRAs do NOT get this break.)</w:t>
      </w:r>
      <w:r>
        <w:br/>
      </w:r>
      <w:r>
        <w:t xml:space="preserve">• Decide whether you need the flexibility; if you think you might, keep at least part of the balance in the McKinsey plan until 59½.</w:t>
      </w:r>
    </w:p>
    <w:p>
      <w:pPr>
        <w:pStyle w:val="BodyText"/>
      </w:pPr>
      <w:r>
        <w:t xml:space="preserve">Age 59½</w:t>
      </w:r>
      <w:r>
        <w:br/>
      </w:r>
      <w:r>
        <w:t xml:space="preserve">• Penalty disappears for all retirement accounts. This is the earliest “safe” date to draw from IRAs to bridge income needs, do Roth conversions and/or large charitable gifts funded from IRAs without a 10 % penalty.</w:t>
      </w:r>
    </w:p>
    <w:p>
      <w:pPr>
        <w:pStyle w:val="BodyText"/>
      </w:pPr>
      <w:r>
        <w:t xml:space="preserve">Age 60–Medicare (65)</w:t>
      </w:r>
      <w:r>
        <w:br/>
      </w:r>
      <w:r>
        <w:t xml:space="preserve">• Health insurance: price COBRA from McKinsey vs. ACA marketplace plans; HSA dollars can pay COBRA or Medicare premiums tax-free.</w:t>
      </w:r>
      <w:r>
        <w:br/>
      </w:r>
      <w:r>
        <w:t xml:space="preserve">• Social Security: earliest widow(er)’s benefits start at 60, otherwise it is usually best to wait (see Section E).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C. Lower lifetime federal tax through bracket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Identify your likely marginal brackets:</w:t>
            </w:r>
            <w:r>
              <w:t xml:space="preserve"> </w:t>
            </w:r>
            <w:r>
              <w:t xml:space="preserve">• Working years to 60 → probably 32 %–35 % federal.</w:t>
            </w:r>
            <w:r>
              <w:t xml:space="preserve"> </w:t>
            </w:r>
            <w:r>
              <w:t xml:space="preserve">• Early-retirement gap (60–70) → may drop to 22 %–24 %.</w:t>
            </w:r>
            <w:r>
              <w:t xml:space="preserve"> </w:t>
            </w:r>
            <w:r>
              <w:t xml:space="preserve">• RMD years (73+) + Social Security → bracket may rise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Roth conversion sweet spot</w:t>
            </w:r>
            <w:r>
              <w:t xml:space="preserve"> </w:t>
            </w:r>
            <w:r>
              <w:t xml:space="preserve">• Convert just enough each gap-year to “fill” the 22 % or 24 % bracket but stay below Medicare IRMAA surcharges where possible.</w:t>
            </w:r>
            <w:r>
              <w:t xml:space="preserve"> </w:t>
            </w:r>
            <w:r>
              <w:t xml:space="preserve">• Pay the tax with taxable savings, not with money withheld from the conversion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Capital-gain harvesting</w:t>
            </w:r>
            <w:r>
              <w:t xml:space="preserve"> </w:t>
            </w:r>
            <w:r>
              <w:t xml:space="preserve">• If taxable income falls into the 0 % LTCG bracket (up to $94,050 MFJ in 2024), realize gains deliberately. Illinois taxes capital gains, so you still owe 4.95 %, but a federal 0 % rate is hard to beat.</w:t>
            </w:r>
          </w:p>
        </w:tc>
      </w:tr>
    </w:tbl>
    <w:bookmarkEnd w:id="20"/>
    <w:bookmarkStart w:id="21" w:name="d.-play-illinois-rules-to-your-advantage"/>
    <w:p>
      <w:pPr>
        <w:pStyle w:val="Heading2"/>
      </w:pPr>
      <w:r>
        <w:t xml:space="preserve">D. Play Illinois rules to your advantage</w:t>
      </w:r>
    </w:p>
    <w:p>
      <w:pPr>
        <w:pStyle w:val="FirstParagraph"/>
      </w:pPr>
      <w:r>
        <w:t xml:space="preserve">• Illinois does NOT tax:</w:t>
      </w:r>
      <w:r>
        <w:br/>
      </w:r>
      <w:r>
        <w:t xml:space="preserve">– Distributions from qualified 401(k)/403(b)/457 plans,</w:t>
      </w:r>
      <w:r>
        <w:br/>
      </w:r>
      <w:r>
        <w:t xml:space="preserve">– Traditional or Roth IRA withdrawals,</w:t>
      </w:r>
      <w:r>
        <w:br/>
      </w:r>
      <w:r>
        <w:t xml:space="preserve">– Private or public pensions,</w:t>
      </w:r>
      <w:r>
        <w:br/>
      </w:r>
      <w:r>
        <w:t xml:space="preserve">– Social Security.</w:t>
      </w:r>
      <w:r>
        <w:br/>
      </w:r>
      <w:r>
        <w:t xml:space="preserve">(All are subtracted on IL-1040, Line 5.)</w:t>
      </w:r>
      <w:r>
        <w:br/>
      </w:r>
      <w:r>
        <w:t xml:space="preserve">• Result: once you retire, almost all of your retirement-account income will be state-tax-free. Therefore:</w:t>
      </w:r>
      <w:r>
        <w:br/>
      </w:r>
      <w:r>
        <w:t xml:space="preserve">– The state cost of Roth vs. Traditional decisions is essentially zero; focus on federal brackets.</w:t>
      </w:r>
      <w:r>
        <w:br/>
      </w:r>
      <w:r>
        <w:t xml:space="preserve">– If you move out of Illinois in retirement, model the impact carefully—many states do tax these items.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E. Social Security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Each year you delay between 62 and 70 increases your benefit 7–8 % (plus COLAs).</w:t>
            </w:r>
            <w:r>
              <w:t xml:space="preserve"> </w:t>
            </w:r>
            <w:r>
              <w:t xml:space="preserve">• Because Illinois doesn’t tax it, deferral is even more attractive.</w:t>
            </w:r>
            <w:r>
              <w:t xml:space="preserve"> </w:t>
            </w:r>
            <w:r>
              <w:t xml:space="preserve">• Typical strategy for high earners: live on 401(k)/IRA withdrawals and Roth conversions 60–70, claim Social Security at 70.</w:t>
            </w:r>
          </w:p>
        </w:tc>
      </w:tr>
    </w:tbl>
    <w:bookmarkEnd w:id="21"/>
    <w:bookmarkStart w:id="22" w:name="X496bd43b6118dd393543636daa78335ff0a3838"/>
    <w:p>
      <w:pPr>
        <w:pStyle w:val="Heading2"/>
      </w:pPr>
      <w:r>
        <w:t xml:space="preserve">F. Pension or other McKinsey deferred-comp decisions</w:t>
      </w:r>
    </w:p>
    <w:p>
      <w:pPr>
        <w:pStyle w:val="FirstParagraph"/>
      </w:pPr>
      <w:r>
        <w:t xml:space="preserve">• If you have a cash-balance pension or non-qualified deferred comp (NQDC) plan, compare lump-sum vs. annuity payouts and scheduled distributions.</w:t>
      </w:r>
      <w:r>
        <w:br/>
      </w:r>
      <w:r>
        <w:t xml:space="preserve">• Aim to receive lump-sum/NQDC in your early-retirement low-tax window rather than while still on salary.</w:t>
      </w:r>
      <w:r>
        <w:br/>
      </w:r>
      <w:r>
        <w:t xml:space="preserve">• Confirm whether any portion is exempt from Illinois tax (qualified pension = exempt; NQDC usually taxed).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G. Prepare for Required Minimum Distributions (RMDs)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Your first RMD year is the year you turn 73; you may delay only the first one until April 1 of the next year, which would bunch two RMDs in that year.</w:t>
            </w:r>
            <w:r>
              <w:t xml:space="preserve"> </w:t>
            </w:r>
            <w:r>
              <w:t xml:space="preserve">• Rolling old 401(k)s into one IRA (or into the active plan if still working) simplifies future RMD tracking.</w:t>
            </w:r>
            <w:r>
              <w:t xml:space="preserve"> </w:t>
            </w:r>
            <w:r>
              <w:t xml:space="preserve">• Consider partial Roth conversions each year until the projected IRA balance at 73 lines up with your target tax bracket.</w:t>
            </w:r>
          </w:p>
        </w:tc>
      </w:tr>
    </w:tbl>
    <w:bookmarkEnd w:id="22"/>
    <w:bookmarkStart w:id="23" w:name="h.-charitable-strategies"/>
    <w:p>
      <w:pPr>
        <w:pStyle w:val="Heading2"/>
      </w:pPr>
      <w:r>
        <w:t xml:space="preserve">H. Charitable strategies</w:t>
      </w:r>
    </w:p>
    <w:p>
      <w:pPr>
        <w:numPr>
          <w:ilvl w:val="0"/>
          <w:numId w:val="1001"/>
        </w:numPr>
      </w:pPr>
      <w:r>
        <w:t xml:space="preserve">Donor-Advised Fund (DAF) “bunching” while working</w:t>
      </w:r>
      <w:r>
        <w:br/>
      </w:r>
      <w:r>
        <w:t xml:space="preserve">• Front-load multiple years of donations into a DAF to exceed the itemized-deduction threshold in high-income years, then gift from the DAF later.</w:t>
      </w:r>
    </w:p>
    <w:p>
      <w:pPr>
        <w:numPr>
          <w:ilvl w:val="0"/>
          <w:numId w:val="1001"/>
        </w:numPr>
      </w:pPr>
      <w:r>
        <w:t xml:space="preserve">Qualified Charitable Distributions (QCDs) after age 70½</w:t>
      </w:r>
      <w:r>
        <w:br/>
      </w:r>
      <w:r>
        <w:t xml:space="preserve">• Up to $105,000/year goes directly from IRA to charities and counts toward RMD without hitting AGI.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I. Insurance, health and long-term-care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Life: Re-evaluate how much you need once salary stops.</w:t>
            </w:r>
            <w:r>
              <w:t xml:space="preserve"> </w:t>
            </w:r>
            <w:r>
              <w:t xml:space="preserve">• Disability: Usually drop coverage at retirement.</w:t>
            </w:r>
            <w:r>
              <w:t xml:space="preserve"> </w:t>
            </w:r>
            <w:r>
              <w:t xml:space="preserve">• Long-term-care: Pricing is best in your mid-50s; weigh premiums vs. self-funding from portfolio.</w:t>
            </w:r>
            <w:r>
              <w:t xml:space="preserve"> </w:t>
            </w:r>
            <w:r>
              <w:t xml:space="preserve">• Umbrella liability: Make sure at least $1-2 million remains in force.</w:t>
            </w:r>
          </w:p>
        </w:tc>
      </w:tr>
    </w:tbl>
    <w:bookmarkEnd w:id="23"/>
    <w:bookmarkStart w:id="24" w:name="j.-estate-and-beneficiary-clean-up"/>
    <w:p>
      <w:pPr>
        <w:pStyle w:val="Heading2"/>
      </w:pPr>
      <w:r>
        <w:t xml:space="preserve">J. Estate and beneficiary clean-up</w:t>
      </w:r>
    </w:p>
    <w:p>
      <w:pPr>
        <w:pStyle w:val="FirstParagraph"/>
      </w:pPr>
      <w:r>
        <w:t xml:space="preserve">• Update wills, powers-of-attorney and health-care directives.</w:t>
      </w:r>
      <w:r>
        <w:br/>
      </w:r>
      <w:r>
        <w:t xml:space="preserve">• Check that 401(k), IRA and insurance beneficiaries are correct; beneficiary designations override wills.</w:t>
      </w:r>
      <w:r>
        <w:br/>
      </w:r>
      <w:r>
        <w:t xml:space="preserve">• If you have significant Roth assets, name individual beneficiaries (not the estate) so they can use the 10-year stretch.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71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K. Relocation and property-tax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• Illinois property taxes are high; if you plan to move after retirement, weigh housing costs vs. the benefit of Illinois’ retirement-income tax break.</w:t>
            </w:r>
            <w:r>
              <w:t xml:space="preserve"> </w:t>
            </w:r>
            <w:r>
              <w:t xml:space="preserve">• Downsizing or moving to a lower-tax county can fund part of long-term-care or travel goals.</w:t>
            </w:r>
          </w:p>
        </w:tc>
      </w:tr>
    </w:tbl>
    <w:bookmarkEnd w:id="24"/>
    <w:bookmarkStart w:id="25" w:name="action-calendar-sample"/>
    <w:p>
      <w:pPr>
        <w:pStyle w:val="Heading2"/>
      </w:pPr>
      <w:r>
        <w:t xml:space="preserve">Action calendar (sample)</w:t>
      </w:r>
    </w:p>
    <w:p>
      <w:pPr>
        <w:pStyle w:val="FirstParagraph"/>
      </w:pPr>
      <w:r>
        <w:t xml:space="preserve">• Now:</w:t>
      </w:r>
      <w:r>
        <w:br/>
      </w:r>
      <w:r>
        <w:t xml:space="preserve">– Elect maximum 401(k) + catch-up.</w:t>
      </w:r>
      <w:r>
        <w:br/>
      </w:r>
      <w:r>
        <w:t xml:space="preserve">– Open/fully fund HSA and Roth/Back-door Roth.</w:t>
      </w:r>
      <w:r>
        <w:br/>
      </w:r>
      <w:r>
        <w:t xml:space="preserve">– Price LTC insurance.</w:t>
      </w:r>
      <w:r>
        <w:br/>
      </w:r>
      <w:r>
        <w:t xml:space="preserve">• 59½ birthday:</w:t>
      </w:r>
      <w:r>
        <w:br/>
      </w:r>
      <w:r>
        <w:t xml:space="preserve">– Re-visit withdrawal plan; decide whether to roll the 401(k) to an IRA or keep it for Rule-of-55 access.</w:t>
      </w:r>
      <w:r>
        <w:br/>
      </w:r>
      <w:r>
        <w:t xml:space="preserve">• Year you retire (age 60):</w:t>
      </w:r>
      <w:r>
        <w:br/>
      </w:r>
      <w:r>
        <w:t xml:space="preserve">– Start gap-year Roth conversion plan.</w:t>
      </w:r>
      <w:r>
        <w:br/>
      </w:r>
      <w:r>
        <w:t xml:space="preserve">– Choose COBRA vs. ACA insurance.</w:t>
      </w:r>
      <w:r>
        <w:br/>
      </w:r>
      <w:r>
        <w:t xml:space="preserve">• Age 62:</w:t>
      </w:r>
      <w:r>
        <w:br/>
      </w:r>
      <w:r>
        <w:t xml:space="preserve">– Run Social-Security-claiming analysis but likely defer.</w:t>
      </w:r>
      <w:r>
        <w:br/>
      </w:r>
      <w:r>
        <w:t xml:space="preserve">• Age 70:</w:t>
      </w:r>
      <w:r>
        <w:br/>
      </w:r>
      <w:r>
        <w:t xml:space="preserve">– File for maximum Social Security.</w:t>
      </w:r>
      <w:r>
        <w:br/>
      </w:r>
      <w:r>
        <w:t xml:space="preserve">• Age 73:</w:t>
      </w:r>
      <w:r>
        <w:br/>
      </w:r>
      <w:r>
        <w:t xml:space="preserve">– First RMD (unless converting enough to eliminate it). Consider QCD eligibility at 70½+.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Key takeaways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Your highest-impact levers between 55 and 60 are (a) max funding—including catch-ups and HSA—while salary is strong, and (b) laying groundwork for Roth conversions once income drops.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Illinois’ complete exemption of qualified retirement income means state taxes are not a constraint; focus on federal bracket-management and IRMAA thresholds.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Execute a multi-year plan: fund, convert, and draw in the right sequence, while keeping an eye on health coverage and estate documents.</w:t>
      </w:r>
    </w:p>
    <w:p>
      <w:pPr>
        <w:pStyle w:val="FirstParagraph"/>
      </w:pPr>
      <w:r>
        <w:t xml:space="preserve">Work through this list with your tax professional and financial planner annually; small course-corrections (e.g., conversion amounts, DAF vs. cash gifts, marketplace premium subsidies) can save thousands every year and tens of thousands over your lifetime.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2025-06-05T18:10:14Z</dcterms:created>
  <dcterms:modified xsi:type="dcterms:W3CDTF">2025-06-05T18:10:14Z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