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720"/>
        <w:jc w:val="center"/>
      </w:pPr>
      <w:r>
        <w:rPr>
          <w:b/>
          <w:bCs/>
          <w:sz w:val="28"/>
          <w:szCs w:val="28"/>
        </w:rPr>
        <w:t xml:space="preserve">Manual de Usuario y Guía Operativa de la Plataforma LateSoft: Sistema Multi-Sucursal para Gestión de Cafeterías de Especialidad</w:t>
      </w:r>
    </w:p>
    <w:p>
      <w:pPr>
        <w:spacing w:after="240"/>
        <w:jc w:val="center"/>
      </w:pPr>
      <w:r>
        <w:rPr>
          <w:sz w:val="24"/>
          <w:szCs w:val="24"/>
        </w:rPr>
        <w:t xml:space="preserve">Francisco Robledo</w:t>
      </w:r>
    </w:p>
    <w:p>
      <w:pPr>
        <w:spacing w:after="240"/>
        <w:jc w:val="center"/>
      </w:pPr>
      <w:r>
        <w:rPr>
          <w:sz w:val="24"/>
          <w:szCs w:val="24"/>
        </w:rPr>
        <w:t xml:space="preserve">Proyecto Tecnológico LateSoft
Desarrollo de Aplicaciones Multiplataforma y Sistemas Distribuidos</w:t>
      </w:r>
    </w:p>
    <w:p>
      <w:pPr>
        <w:spacing w:after="240"/>
        <w:jc w:val="center"/>
      </w:pPr>
      <w:r>
        <w:rPr>
          <w:sz w:val="24"/>
          <w:szCs w:val="24"/>
        </w:rPr>
        <w:t xml:space="preserve">30 de Octubre de 2026</w:t>
      </w:r>
    </w:p>
    <w:p>
      <w:pPr>
        <w:jc w:val="center"/>
      </w:pPr>
      <w:r>
        <w:rPr>
          <w:i/>
          <w:iCs/>
          <w:color w:val="555555"/>
          <w:sz w:val="22"/>
          <w:szCs w:val="22"/>
        </w:rPr>
        <w:t xml:space="preserve">Formato Oficial según Normas APA (7.ª Edición)</w:t>
      </w:r>
    </w:p>
    <w:p>
      <w:pPr>
        <w:pageBreakBefore/>
        <w:spacing w:after="360" w:before="480"/>
        <w:jc w:val="center"/>
      </w:pPr>
      <w:r>
        <w:rPr>
          <w:b/>
          <w:bCs/>
          <w:sz w:val="24"/>
          <w:szCs w:val="24"/>
        </w:rPr>
        <w:t xml:space="preserve">Resumen</w:t>
      </w:r>
    </w:p>
    <w:p>
      <w:pPr>
        <w:spacing w:after="360"/>
        <w:jc w:val="both"/>
      </w:pPr>
      <w:r>
        <w:t xml:space="preserve">El presente documento constituye el manual de usuario formal y la guía operativa integral del ecosistema digital LateSoft, una solución tecnológica multiplataforma diseñada para optimizar los procesos de comercialización, atención al cliente y despacho operativo en cadenas de cafeterías de especialidad bajo una arquitectura multi-sucursal. Se detallan exhaustivamente las pautas de interacción para los diferentes perfiles del sistema: Clientes (Customer), Cajeros (Cashier), Baristas (Barista), Encargados de Local (Manager) y Administradores Generales (Admin). La guía aborda desde el proceso de instalación del paquete de distribución Android (.apk) y los mecanismos de autenticación federada (Google, Discord, GitHub), hasta los flujos transaccionales avanzados que contemplan la pasarela de pagos con verificación asíncrona de comprobantes mediante Mercado Pago, el sistema de visualización de cocina en tiempo real (Kitchen Display System), el arqueo de turnos de caja con control de discrepancias y la gestión de permisos delegados con PIN de supervisor (Manager Override).</w:t>
      </w:r>
    </w:p>
    <w:p>
      <w:pPr>
        <w:jc w:val="both"/>
      </w:pPr>
      <w:r>
        <w:rPr>
          <w:b/>
          <w:bCs/>
          <w:i/>
          <w:iCs/>
        </w:rPr>
        <w:t xml:space="preserve">Palabras clave: </w:t>
      </w:r>
      <w:r>
        <w:rPr>
          <w:i/>
          <w:iCs/>
        </w:rPr>
        <w:t xml:space="preserve">arquitectura multi-sucursal, control de acceso basado en roles (RBAC), punto de venta (POS), sistema de visualización de cocina (KDS), verificación de transferencias, Mercado Pago, React Native, TiDB Cloud.</w:t>
      </w:r>
    </w:p>
    <w:p>
      <w:pPr>
        <w:pageBreakBefore/>
        <w:spacing w:after="240" w:before="360"/>
        <w:jc w:val="center"/>
      </w:pPr>
      <w:r>
        <w:rPr>
          <w:b/>
          <w:bCs/>
          <w:sz w:val="26"/>
          <w:szCs w:val="26"/>
        </w:rPr>
        <w:t xml:space="preserve">1. Introducción y Marco General del Sistema</w:t>
      </w:r>
    </w:p>
    <w:p>
      <w:pPr>
        <w:jc w:val="both"/>
      </w:pPr>
      <w:r>
        <w:t xml:space="preserve">El crecimiento de la industria gastronómica de especialidad exige plataformas informáticas con alta resiliencia, disponibilidad 24/7 y una experiencia de usuario fluida tanto en dispositivos táctiles móviles como en terminales de punto de venta dedicadas. La plataforma LateSoft responde a esta necesidad mediante un modelo desacoplado que integra tres capas tecnológicas fundamentales:</w:t>
      </w:r>
    </w:p>
    <w:p>
      <w:pPr>
        <w:pStyle w:val="ListParagraph"/>
        <w:numPr>
          <w:ilvl w:val="0"/>
          <w:numId w:val="1"/>
        </w:numPr>
        <w:jc w:val="both"/>
      </w:pPr>
      <w:r>
        <w:rPr>
          <w:b/>
          <w:bCs/>
        </w:rPr>
        <w:t xml:space="preserve">Cliente Móvil y Web (Frontend): </w:t>
      </w:r>
      <w:r>
        <w:t xml:space="preserve">Desarrollado sobre el ecosistema React Native con Expo Framework, compatible con dispositivos Android, iOS y navegadores web modernos, con soporte estricto de accesibilidad, alto contraste y temas dinámicos (Modo Claro / Modo Oscuro).</w:t>
      </w:r>
    </w:p>
    <w:p>
      <w:pPr>
        <w:pStyle w:val="ListParagraph"/>
        <w:numPr>
          <w:ilvl w:val="0"/>
          <w:numId w:val="1"/>
        </w:numPr>
        <w:jc w:val="both"/>
      </w:pPr>
      <w:r>
        <w:rPr>
          <w:b/>
          <w:bCs/>
        </w:rPr>
        <w:t xml:space="preserve">Servidor de Aplicaciones (Backend API): </w:t>
      </w:r>
      <w:r>
        <w:t xml:space="preserve">Construido en Node.js con Express y tipado estricto en TypeScript, alojado en la nube de alta disponibilidad de Render (https://latesoft-api.onrender.com), respetando una directriz de arquitectura estricta donde todas las comunicaciones operan bajo el protocolo HTTP POST para máxima trazabilidad y seguridad en tránsito.</w:t>
      </w:r>
    </w:p>
    <w:p>
      <w:pPr>
        <w:pStyle w:val="ListParagraph"/>
        <w:numPr>
          <w:ilvl w:val="0"/>
          <w:numId w:val="1"/>
        </w:numPr>
        <w:jc w:val="both"/>
      </w:pPr>
      <w:r>
        <w:rPr>
          <w:b/>
          <w:bCs/>
        </w:rPr>
        <w:t xml:space="preserve">Persistencia de Datos (Database Layer): </w:t>
      </w:r>
      <w:r>
        <w:t xml:space="preserve">Motor relacional escalable TiDB Cloud (compatible con protocolo MySQL 8.0) alojado en la región AWS São Paulo, asegurando transaccionalidad ACID, esquemas normalizados y auditoría inmutable de eventos sensibles.</w:t>
      </w:r>
    </w:p>
    <w:p>
      <w:pPr>
        <w:spacing w:after="240" w:before="480"/>
        <w:jc w:val="left"/>
      </w:pPr>
      <w:r>
        <w:rPr>
          <w:b/>
          <w:bCs/>
          <w:sz w:val="26"/>
          <w:szCs w:val="26"/>
        </w:rPr>
        <w:t xml:space="preserve">2. Requisitos del Sistema e Instalación de la Aplicación</w:t>
      </w:r>
    </w:p>
    <w:p>
      <w:pPr>
        <w:spacing w:after="180" w:before="240"/>
        <w:jc w:val="left"/>
      </w:pPr>
      <w:r>
        <w:rPr>
          <w:b/>
          <w:bCs/>
          <w:sz w:val="24"/>
          <w:szCs w:val="24"/>
        </w:rPr>
        <w:t xml:space="preserve">2.1 Requisitos Mínimos de Hardware y Software</w:t>
      </w:r>
    </w:p>
    <w:p>
      <w:pPr>
        <w:jc w:val="both"/>
      </w:pPr>
      <w:r>
        <w:t xml:space="preserve">Para garantizar un funcionamiento fluido, los dispositivos móviles deben contar con las siguientes especificaciones técnicas:</w:t>
      </w:r>
    </w:p>
    <w:p>
      <w:pPr>
        <w:pStyle w:val="ListParagraph"/>
        <w:numPr>
          <w:ilvl w:val="0"/>
          <w:numId w:val="1"/>
        </w:numPr>
      </w:pPr>
      <w:r>
        <w:rPr>
          <w:b/>
          <w:bCs/>
        </w:rPr>
        <w:t xml:space="preserve">Sistema Operativo: </w:t>
      </w:r>
      <w:r>
        <w:t xml:space="preserve">Android 8.0 (Oreo / API 26) o superior.</w:t>
      </w:r>
    </w:p>
    <w:p>
      <w:pPr>
        <w:pStyle w:val="ListParagraph"/>
        <w:numPr>
          <w:ilvl w:val="0"/>
          <w:numId w:val="1"/>
        </w:numPr>
      </w:pPr>
      <w:r>
        <w:rPr>
          <w:b/>
          <w:bCs/>
        </w:rPr>
        <w:t xml:space="preserve">Memoria RAM: </w:t>
      </w:r>
      <w:r>
        <w:t xml:space="preserve">Mínimo 2 GB (Recomendado 4 GB).</w:t>
      </w:r>
    </w:p>
    <w:p>
      <w:pPr>
        <w:pStyle w:val="ListParagraph"/>
        <w:numPr>
          <w:ilvl w:val="0"/>
          <w:numId w:val="1"/>
        </w:numPr>
      </w:pPr>
      <w:r>
        <w:rPr>
          <w:b/>
          <w:bCs/>
        </w:rPr>
        <w:t xml:space="preserve">Espacio de Almacenamiento: </w:t>
      </w:r>
      <w:r>
        <w:t xml:space="preserve">50 MB de memoria interna libre para la instalación del APK.</w:t>
      </w:r>
    </w:p>
    <w:p>
      <w:pPr>
        <w:pStyle w:val="ListParagraph"/>
        <w:numPr>
          <w:ilvl w:val="0"/>
          <w:numId w:val="1"/>
        </w:numPr>
      </w:pPr>
      <w:r>
        <w:rPr>
          <w:b/>
          <w:bCs/>
        </w:rPr>
        <w:t xml:space="preserve">Conectividad: </w:t>
      </w:r>
      <w:r>
        <w:t xml:space="preserve">Acceso a Internet mediante red móvil (3G/4G/5G) o red Wi-Fi.</w:t>
      </w:r>
    </w:p>
    <w:p>
      <w:pPr>
        <w:pStyle w:val="ListParagraph"/>
        <w:numPr>
          <w:ilvl w:val="0"/>
          <w:numId w:val="1"/>
        </w:numPr>
      </w:pPr>
      <w:r>
        <w:rPr>
          <w:b/>
          <w:bCs/>
        </w:rPr>
        <w:t xml:space="preserve">Sensores de Hardware: </w:t>
      </w:r>
      <w:r>
        <w:t xml:space="preserve">Cámara fotográfica (lectura de códigos QR) y módulo GPS de ubicación.</w:t>
      </w:r>
    </w:p>
    <w:p>
      <w:pPr>
        <w:spacing w:after="180" w:before="240"/>
        <w:jc w:val="left"/>
      </w:pPr>
      <w:r>
        <w:rPr>
          <w:b/>
          <w:bCs/>
          <w:sz w:val="24"/>
          <w:szCs w:val="24"/>
        </w:rPr>
        <w:t xml:space="preserve">2.2 Procedimiento de Instalación del Paquete APK</w:t>
      </w:r>
    </w:p>
    <w:p>
      <w:pPr>
        <w:jc w:val="both"/>
      </w:pPr>
      <w:r>
        <w:t xml:space="preserve">1. Ingrese desde el navegador web del teléfono móvil al enlace del build oficial de Expo EAS:
https://expo.dev/accounts/franguionbajo/projects/latesoft-cafeteria/builds/491668fc-0669-42db-920c-146b236cc7f1
</w:t>
      </w:r>
      <w:r>
        <w:t xml:space="preserve">2. Presione el botón "Download" o "Install" para iniciar la descarga del instalador.
</w:t>
      </w:r>
      <w:r>
        <w:t xml:space="preserve">3. Si el dispositivo solicita confirmación para instalar desde fuentes desconocidas, seleccione "Permitir desde esta fuente".
</w:t>
      </w:r>
      <w:r>
        <w:t xml:space="preserve">4. Toque "Instalar" y espere la confirmación en pantalla. Al finalizar, presione "Abrir" para iniciar LateSoft.</w:t>
      </w:r>
    </w:p>
    <w:p>
      <w:pPr>
        <w:spacing w:after="240" w:before="480"/>
        <w:jc w:val="left"/>
      </w:pPr>
      <w:r>
        <w:rPr>
          <w:b/>
          <w:bCs/>
          <w:sz w:val="26"/>
          <w:szCs w:val="26"/>
        </w:rPr>
        <w:t xml:space="preserve">3. Módulo de Autenticación y Control de Acceso (RBAC)</w:t>
      </w:r>
    </w:p>
    <w:p>
      <w:pPr>
        <w:jc w:val="both"/>
      </w:pPr>
      <w:r>
        <w:t xml:space="preserve">La plataforma implementa un esquema de Control de Acceso Basado en Roles (RBAC) con separación estricta de funciones:</w:t>
      </w:r>
    </w:p>
    <w:p>
      <w:pPr>
        <w:spacing w:after="60" w:before="240"/>
      </w:pPr>
      <w:r>
        <w:rPr>
          <w:b/>
          <w:bCs/>
        </w:rPr>
        <w:t xml:space="preserve">Tabla 1</w:t>
      </w:r>
    </w:p>
    <w:p>
      <w:pPr>
        <w:spacing w:after="180"/>
      </w:pPr>
      <w:r>
        <w:rPr>
          <w:i/>
          <w:iCs/>
        </w:rPr>
        <w:t xml:space="preserve">Matriz de Roles, Permisos y Credenciales Preconfiguradas para Pruebas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pct" w:w="1000"/>
            <w:tcBorders>
              <w:top w:val="single" w:color="000000" w:sz="12"/>
              <w:left w:val="none"/>
              <w:bottom w:val="single" w:color="000000" w:sz="12"/>
              <w:right w:val="none"/>
            </w:tcBorders>
          </w:tcPr>
          <w:p>
            <w:pPr>
              <w:jc w:val="center"/>
            </w:pPr>
            <w:r>
              <w:rPr>
                <w:b/>
                <w:bCs/>
                <w:sz w:val="20"/>
                <w:szCs w:val="20"/>
              </w:rPr>
              <w:t xml:space="preserve">Perfil</w:t>
            </w:r>
          </w:p>
        </w:tc>
        <w:tc>
          <w:tcPr>
            <w:tcW w:type="pct" w:w="1000"/>
            <w:tcBorders>
              <w:top w:val="single" w:color="000000" w:sz="12"/>
              <w:left w:val="none"/>
              <w:bottom w:val="single" w:color="000000" w:sz="12"/>
              <w:right w:val="none"/>
            </w:tcBorders>
          </w:tcPr>
          <w:p>
            <w:pPr>
              <w:jc w:val="center"/>
            </w:pPr>
            <w:r>
              <w:rPr>
                <w:b/>
                <w:bCs/>
                <w:sz w:val="20"/>
                <w:szCs w:val="20"/>
              </w:rPr>
              <w:t xml:space="preserve">Rol</w:t>
            </w:r>
          </w:p>
        </w:tc>
        <w:tc>
          <w:tcPr>
            <w:tcW w:type="pct" w:w="1000"/>
            <w:tcBorders>
              <w:top w:val="single" w:color="000000" w:sz="12"/>
              <w:left w:val="none"/>
              <w:bottom w:val="single" w:color="000000" w:sz="12"/>
              <w:right w:val="none"/>
            </w:tcBorders>
          </w:tcPr>
          <w:p>
            <w:pPr>
              <w:jc w:val="center"/>
            </w:pPr>
            <w:r>
              <w:rPr>
                <w:b/>
                <w:bCs/>
                <w:sz w:val="20"/>
                <w:szCs w:val="20"/>
              </w:rPr>
              <w:t xml:space="preserve">Alcance y Permisos</w:t>
            </w:r>
          </w:p>
        </w:tc>
        <w:tc>
          <w:tcPr>
            <w:tcW w:type="pct" w:w="1000"/>
            <w:tcBorders>
              <w:top w:val="single" w:color="000000" w:sz="12"/>
              <w:left w:val="none"/>
              <w:bottom w:val="single" w:color="000000" w:sz="12"/>
              <w:right w:val="none"/>
            </w:tcBorders>
          </w:tcPr>
          <w:p>
            <w:pPr>
              <w:jc w:val="center"/>
            </w:pPr>
            <w:r>
              <w:rPr>
                <w:b/>
                <w:bCs/>
                <w:sz w:val="20"/>
                <w:szCs w:val="20"/>
              </w:rPr>
              <w:t xml:space="preserve">Correo Electrónico</w:t>
            </w:r>
          </w:p>
        </w:tc>
        <w:tc>
          <w:tcPr>
            <w:tcW w:type="pct" w:w="1000"/>
            <w:tcBorders>
              <w:top w:val="single" w:color="000000" w:sz="12"/>
              <w:left w:val="none"/>
              <w:bottom w:val="single" w:color="000000" w:sz="12"/>
              <w:right w:val="none"/>
            </w:tcBorders>
          </w:tcPr>
          <w:p>
            <w:pPr>
              <w:jc w:val="center"/>
            </w:pPr>
            <w:r>
              <w:rPr>
                <w:b/>
                <w:bCs/>
                <w:sz w:val="20"/>
                <w:szCs w:val="20"/>
              </w:rPr>
              <w:t xml:space="preserve">Contraseña</w:t>
            </w:r>
          </w:p>
        </w:tc>
      </w:tr>
      <w:tr>
        <w:tc>
          <w:tcPr>
            <w:tcW w:type="pct" w:w="1000"/>
            <w:tcBorders>
              <w:top w:val="none"/>
              <w:left w:val="none"/>
              <w:bottom w:val="single" w:color="CCCCCC" w:sz="6"/>
              <w:right w:val="none"/>
            </w:tcBorders>
          </w:tcPr>
          <w:p>
            <w:pPr>
              <w:jc w:val="left"/>
            </w:pPr>
            <w:r>
              <w:rPr>
                <w:b/>
                <w:bCs/>
                <w:sz w:val="18"/>
                <w:szCs w:val="18"/>
              </w:rPr>
              <w:t xml:space="preserve">Cliente</w:t>
            </w:r>
          </w:p>
        </w:tc>
        <w:tc>
          <w:tcPr>
            <w:tcW w:type="pct" w:w="1000"/>
            <w:tcBorders>
              <w:top w:val="none"/>
              <w:left w:val="none"/>
              <w:bottom w:val="single" w:color="CCCCCC" w:sz="6"/>
              <w:right w:val="none"/>
            </w:tcBorders>
          </w:tcPr>
          <w:p>
            <w:pPr>
              <w:jc w:val="left"/>
            </w:pPr>
            <w:r>
              <w:rPr>
                <w:b w:val="false"/>
                <w:bCs w:val="false"/>
                <w:sz w:val="18"/>
                <w:szCs w:val="18"/>
              </w:rPr>
              <w:t xml:space="preserve">CUSTOMER</w:t>
            </w:r>
          </w:p>
        </w:tc>
        <w:tc>
          <w:tcPr>
            <w:tcW w:type="pct" w:w="1000"/>
            <w:tcBorders>
              <w:top w:val="none"/>
              <w:left w:val="none"/>
              <w:bottom w:val="single" w:color="CCCCCC" w:sz="6"/>
              <w:right w:val="none"/>
            </w:tcBorders>
          </w:tcPr>
          <w:p>
            <w:pPr>
              <w:jc w:val="left"/>
            </w:pPr>
            <w:r>
              <w:rPr>
                <w:b w:val="false"/>
                <w:bCs w:val="false"/>
                <w:sz w:val="18"/>
                <w:szCs w:val="18"/>
              </w:rPr>
              <w:t xml:space="preserve">Menú, sucursales, pedidos, pagos MP, fidelidad</w:t>
            </w:r>
          </w:p>
        </w:tc>
        <w:tc>
          <w:tcPr>
            <w:tcW w:type="pct" w:w="1000"/>
            <w:tcBorders>
              <w:top w:val="none"/>
              <w:left w:val="none"/>
              <w:bottom w:val="single" w:color="CCCCCC" w:sz="6"/>
              <w:right w:val="none"/>
            </w:tcBorders>
          </w:tcPr>
          <w:p>
            <w:pPr>
              <w:jc w:val="left"/>
            </w:pPr>
            <w:r>
              <w:rPr>
                <w:b w:val="false"/>
                <w:bCs w:val="false"/>
                <w:sz w:val="18"/>
                <w:szCs w:val="18"/>
              </w:rPr>
              <w:t xml:space="preserve">cliente@gmail.com</w:t>
            </w:r>
          </w:p>
        </w:tc>
        <w:tc>
          <w:tcPr>
            <w:tcW w:type="pct" w:w="1000"/>
            <w:tcBorders>
              <w:top w:val="none"/>
              <w:left w:val="none"/>
              <w:bottom w:val="single" w:color="CCCCCC" w:sz="6"/>
              <w:right w:val="none"/>
            </w:tcBorders>
          </w:tcPr>
          <w:p>
            <w:pPr>
              <w:jc w:val="left"/>
            </w:pPr>
            <w:r>
              <w:rPr>
                <w:b w:val="false"/>
                <w:bCs w:val="false"/>
                <w:sz w:val="18"/>
                <w:szCs w:val="18"/>
              </w:rPr>
              <w:t xml:space="preserve">Password123!</w:t>
            </w:r>
          </w:p>
        </w:tc>
      </w:tr>
      <w:tr>
        <w:tc>
          <w:tcPr>
            <w:tcW w:type="pct" w:w="1000"/>
            <w:tcBorders>
              <w:top w:val="none"/>
              <w:left w:val="none"/>
              <w:bottom w:val="single" w:color="CCCCCC" w:sz="6"/>
              <w:right w:val="none"/>
            </w:tcBorders>
          </w:tcPr>
          <w:p>
            <w:pPr>
              <w:jc w:val="left"/>
            </w:pPr>
            <w:r>
              <w:rPr>
                <w:b/>
                <w:bCs/>
                <w:sz w:val="18"/>
                <w:szCs w:val="18"/>
              </w:rPr>
              <w:t xml:space="preserve">Cajero</w:t>
            </w:r>
          </w:p>
        </w:tc>
        <w:tc>
          <w:tcPr>
            <w:tcW w:type="pct" w:w="1000"/>
            <w:tcBorders>
              <w:top w:val="none"/>
              <w:left w:val="none"/>
              <w:bottom w:val="single" w:color="CCCCCC" w:sz="6"/>
              <w:right w:val="none"/>
            </w:tcBorders>
          </w:tcPr>
          <w:p>
            <w:pPr>
              <w:jc w:val="left"/>
            </w:pPr>
            <w:r>
              <w:rPr>
                <w:b w:val="false"/>
                <w:bCs w:val="false"/>
                <w:sz w:val="18"/>
                <w:szCs w:val="18"/>
              </w:rPr>
              <w:t xml:space="preserve">CASHIER</w:t>
            </w:r>
          </w:p>
        </w:tc>
        <w:tc>
          <w:tcPr>
            <w:tcW w:type="pct" w:w="1000"/>
            <w:tcBorders>
              <w:top w:val="none"/>
              <w:left w:val="none"/>
              <w:bottom w:val="single" w:color="CCCCCC" w:sz="6"/>
              <w:right w:val="none"/>
            </w:tcBorders>
          </w:tcPr>
          <w:p>
            <w:pPr>
              <w:jc w:val="left"/>
            </w:pPr>
            <w:r>
              <w:rPr>
                <w:b w:val="false"/>
                <w:bCs w:val="false"/>
                <w:sz w:val="18"/>
                <w:szCs w:val="18"/>
              </w:rPr>
              <w:t xml:space="preserve">POS, facturación en caja, verificación de transferencias</w:t>
            </w:r>
          </w:p>
        </w:tc>
        <w:tc>
          <w:tcPr>
            <w:tcW w:type="pct" w:w="1000"/>
            <w:tcBorders>
              <w:top w:val="none"/>
              <w:left w:val="none"/>
              <w:bottom w:val="single" w:color="CCCCCC" w:sz="6"/>
              <w:right w:val="none"/>
            </w:tcBorders>
          </w:tcPr>
          <w:p>
            <w:pPr>
              <w:jc w:val="left"/>
            </w:pPr>
            <w:r>
              <w:rPr>
                <w:b w:val="false"/>
                <w:bCs w:val="false"/>
                <w:sz w:val="18"/>
                <w:szCs w:val="18"/>
              </w:rPr>
              <w:t xml:space="preserve">cajero.palermo@latesoft.com.ar</w:t>
            </w:r>
          </w:p>
        </w:tc>
        <w:tc>
          <w:tcPr>
            <w:tcW w:type="pct" w:w="1000"/>
            <w:tcBorders>
              <w:top w:val="none"/>
              <w:left w:val="none"/>
              <w:bottom w:val="single" w:color="CCCCCC" w:sz="6"/>
              <w:right w:val="none"/>
            </w:tcBorders>
          </w:tcPr>
          <w:p>
            <w:pPr>
              <w:jc w:val="left"/>
            </w:pPr>
            <w:r>
              <w:rPr>
                <w:b w:val="false"/>
                <w:bCs w:val="false"/>
                <w:sz w:val="18"/>
                <w:szCs w:val="18"/>
              </w:rPr>
              <w:t xml:space="preserve">Password123!</w:t>
            </w:r>
          </w:p>
        </w:tc>
      </w:tr>
      <w:tr>
        <w:tc>
          <w:tcPr>
            <w:tcW w:type="pct" w:w="1000"/>
            <w:tcBorders>
              <w:top w:val="none"/>
              <w:left w:val="none"/>
              <w:bottom w:val="single" w:color="CCCCCC" w:sz="6"/>
              <w:right w:val="none"/>
            </w:tcBorders>
          </w:tcPr>
          <w:p>
            <w:pPr>
              <w:jc w:val="left"/>
            </w:pPr>
            <w:r>
              <w:rPr>
                <w:b/>
                <w:bCs/>
                <w:sz w:val="18"/>
                <w:szCs w:val="18"/>
              </w:rPr>
              <w:t xml:space="preserve">Barista</w:t>
            </w:r>
          </w:p>
        </w:tc>
        <w:tc>
          <w:tcPr>
            <w:tcW w:type="pct" w:w="1000"/>
            <w:tcBorders>
              <w:top w:val="none"/>
              <w:left w:val="none"/>
              <w:bottom w:val="single" w:color="CCCCCC" w:sz="6"/>
              <w:right w:val="none"/>
            </w:tcBorders>
          </w:tcPr>
          <w:p>
            <w:pPr>
              <w:jc w:val="left"/>
            </w:pPr>
            <w:r>
              <w:rPr>
                <w:b w:val="false"/>
                <w:bCs w:val="false"/>
                <w:sz w:val="18"/>
                <w:szCs w:val="18"/>
              </w:rPr>
              <w:t xml:space="preserve">BARISTA</w:t>
            </w:r>
          </w:p>
        </w:tc>
        <w:tc>
          <w:tcPr>
            <w:tcW w:type="pct" w:w="1000"/>
            <w:tcBorders>
              <w:top w:val="none"/>
              <w:left w:val="none"/>
              <w:bottom w:val="single" w:color="CCCCCC" w:sz="6"/>
              <w:right w:val="none"/>
            </w:tcBorders>
          </w:tcPr>
          <w:p>
            <w:pPr>
              <w:jc w:val="left"/>
            </w:pPr>
            <w:r>
              <w:rPr>
                <w:b w:val="false"/>
                <w:bCs w:val="false"/>
                <w:sz w:val="18"/>
                <w:szCs w:val="18"/>
              </w:rPr>
              <w:t xml:space="preserve">KDS, avance de preparación, pausa de stock</w:t>
            </w:r>
          </w:p>
        </w:tc>
        <w:tc>
          <w:tcPr>
            <w:tcW w:type="pct" w:w="1000"/>
            <w:tcBorders>
              <w:top w:val="none"/>
              <w:left w:val="none"/>
              <w:bottom w:val="single" w:color="CCCCCC" w:sz="6"/>
              <w:right w:val="none"/>
            </w:tcBorders>
          </w:tcPr>
          <w:p>
            <w:pPr>
              <w:jc w:val="left"/>
            </w:pPr>
            <w:r>
              <w:rPr>
                <w:b w:val="false"/>
                <w:bCs w:val="false"/>
                <w:sz w:val="18"/>
                <w:szCs w:val="18"/>
              </w:rPr>
              <w:t xml:space="preserve">barista.palermo@latesoft.com.ar</w:t>
            </w:r>
          </w:p>
        </w:tc>
        <w:tc>
          <w:tcPr>
            <w:tcW w:type="pct" w:w="1000"/>
            <w:tcBorders>
              <w:top w:val="none"/>
              <w:left w:val="none"/>
              <w:bottom w:val="single" w:color="CCCCCC" w:sz="6"/>
              <w:right w:val="none"/>
            </w:tcBorders>
          </w:tcPr>
          <w:p>
            <w:pPr>
              <w:jc w:val="left"/>
            </w:pPr>
            <w:r>
              <w:rPr>
                <w:b w:val="false"/>
                <w:bCs w:val="false"/>
                <w:sz w:val="18"/>
                <w:szCs w:val="18"/>
              </w:rPr>
              <w:t xml:space="preserve">Password123!</w:t>
            </w:r>
          </w:p>
        </w:tc>
      </w:tr>
      <w:tr>
        <w:tc>
          <w:tcPr>
            <w:tcW w:type="pct" w:w="1000"/>
            <w:tcBorders>
              <w:top w:val="none"/>
              <w:left w:val="none"/>
              <w:bottom w:val="single" w:color="CCCCCC" w:sz="6"/>
              <w:right w:val="none"/>
            </w:tcBorders>
          </w:tcPr>
          <w:p>
            <w:pPr>
              <w:jc w:val="left"/>
            </w:pPr>
            <w:r>
              <w:rPr>
                <w:b/>
                <w:bCs/>
                <w:sz w:val="18"/>
                <w:szCs w:val="18"/>
              </w:rPr>
              <w:t xml:space="preserve">Encargado</w:t>
            </w:r>
          </w:p>
        </w:tc>
        <w:tc>
          <w:tcPr>
            <w:tcW w:type="pct" w:w="1000"/>
            <w:tcBorders>
              <w:top w:val="none"/>
              <w:left w:val="none"/>
              <w:bottom w:val="single" w:color="CCCCCC" w:sz="6"/>
              <w:right w:val="none"/>
            </w:tcBorders>
          </w:tcPr>
          <w:p>
            <w:pPr>
              <w:jc w:val="left"/>
            </w:pPr>
            <w:r>
              <w:rPr>
                <w:b w:val="false"/>
                <w:bCs w:val="false"/>
                <w:sz w:val="18"/>
                <w:szCs w:val="18"/>
              </w:rPr>
              <w:t xml:space="preserve">MANAGER</w:t>
            </w:r>
          </w:p>
        </w:tc>
        <w:tc>
          <w:tcPr>
            <w:tcW w:type="pct" w:w="1000"/>
            <w:tcBorders>
              <w:top w:val="none"/>
              <w:left w:val="none"/>
              <w:bottom w:val="single" w:color="CCCCCC" w:sz="6"/>
              <w:right w:val="none"/>
            </w:tcBorders>
          </w:tcPr>
          <w:p>
            <w:pPr>
              <w:jc w:val="left"/>
            </w:pPr>
            <w:r>
              <w:rPr>
                <w:b w:val="false"/>
                <w:bCs w:val="false"/>
                <w:sz w:val="18"/>
                <w:szCs w:val="18"/>
              </w:rPr>
              <w:t xml:space="preserve">Precios locales, staff, anulación con PIN (1234), turnos</w:t>
            </w:r>
          </w:p>
        </w:tc>
        <w:tc>
          <w:tcPr>
            <w:tcW w:type="pct" w:w="1000"/>
            <w:tcBorders>
              <w:top w:val="none"/>
              <w:left w:val="none"/>
              <w:bottom w:val="single" w:color="CCCCCC" w:sz="6"/>
              <w:right w:val="none"/>
            </w:tcBorders>
          </w:tcPr>
          <w:p>
            <w:pPr>
              <w:jc w:val="left"/>
            </w:pPr>
            <w:r>
              <w:rPr>
                <w:b w:val="false"/>
                <w:bCs w:val="false"/>
                <w:sz w:val="18"/>
                <w:szCs w:val="18"/>
              </w:rPr>
              <w:t xml:space="preserve">manager.palermo@latesoft.com.ar</w:t>
            </w:r>
          </w:p>
        </w:tc>
        <w:tc>
          <w:tcPr>
            <w:tcW w:type="pct" w:w="1000"/>
            <w:tcBorders>
              <w:top w:val="none"/>
              <w:left w:val="none"/>
              <w:bottom w:val="single" w:color="CCCCCC" w:sz="6"/>
              <w:right w:val="none"/>
            </w:tcBorders>
          </w:tcPr>
          <w:p>
            <w:pPr>
              <w:jc w:val="left"/>
            </w:pPr>
            <w:r>
              <w:rPr>
                <w:b w:val="false"/>
                <w:bCs w:val="false"/>
                <w:sz w:val="18"/>
                <w:szCs w:val="18"/>
              </w:rPr>
              <w:t xml:space="preserve">Password123! (PIN: 1234)</w:t>
            </w:r>
          </w:p>
        </w:tc>
      </w:tr>
      <w:tr>
        <w:tc>
          <w:tcPr>
            <w:tcW w:type="pct" w:w="1000"/>
            <w:tcBorders>
              <w:top w:val="none"/>
              <w:left w:val="none"/>
              <w:bottom w:val="single" w:color="CCCCCC" w:sz="6"/>
              <w:right w:val="none"/>
            </w:tcBorders>
          </w:tcPr>
          <w:p>
            <w:pPr>
              <w:jc w:val="left"/>
            </w:pPr>
            <w:r>
              <w:rPr>
                <w:b/>
                <w:bCs/>
                <w:sz w:val="18"/>
                <w:szCs w:val="18"/>
              </w:rPr>
              <w:t xml:space="preserve">Administrador</w:t>
            </w:r>
          </w:p>
        </w:tc>
        <w:tc>
          <w:tcPr>
            <w:tcW w:type="pct" w:w="1000"/>
            <w:tcBorders>
              <w:top w:val="none"/>
              <w:left w:val="none"/>
              <w:bottom w:val="single" w:color="CCCCCC" w:sz="6"/>
              <w:right w:val="none"/>
            </w:tcBorders>
          </w:tcPr>
          <w:p>
            <w:pPr>
              <w:jc w:val="left"/>
            </w:pPr>
            <w:r>
              <w:rPr>
                <w:b w:val="false"/>
                <w:bCs w:val="false"/>
                <w:sz w:val="18"/>
                <w:szCs w:val="18"/>
              </w:rPr>
              <w:t xml:space="preserve">ADMIN</w:t>
            </w:r>
          </w:p>
        </w:tc>
        <w:tc>
          <w:tcPr>
            <w:tcW w:type="pct" w:w="1000"/>
            <w:tcBorders>
              <w:top w:val="none"/>
              <w:left w:val="none"/>
              <w:bottom w:val="single" w:color="CCCCCC" w:sz="6"/>
              <w:right w:val="none"/>
            </w:tcBorders>
          </w:tcPr>
          <w:p>
            <w:pPr>
              <w:jc w:val="left"/>
            </w:pPr>
            <w:r>
              <w:rPr>
                <w:b w:val="false"/>
                <w:bCs w:val="false"/>
                <w:sz w:val="18"/>
                <w:szCs w:val="18"/>
              </w:rPr>
              <w:t xml:space="preserve">Dashboard global, auditoría forense, nuevas tiendas</w:t>
            </w:r>
          </w:p>
        </w:tc>
        <w:tc>
          <w:tcPr>
            <w:tcW w:type="pct" w:w="1000"/>
            <w:tcBorders>
              <w:top w:val="none"/>
              <w:left w:val="none"/>
              <w:bottom w:val="single" w:color="CCCCCC" w:sz="6"/>
              <w:right w:val="none"/>
            </w:tcBorders>
          </w:tcPr>
          <w:p>
            <w:pPr>
              <w:jc w:val="left"/>
            </w:pPr>
            <w:r>
              <w:rPr>
                <w:b w:val="false"/>
                <w:bCs w:val="false"/>
                <w:sz w:val="18"/>
                <w:szCs w:val="18"/>
              </w:rPr>
              <w:t xml:space="preserve">admin@latesoft.com.ar</w:t>
            </w:r>
          </w:p>
        </w:tc>
        <w:tc>
          <w:tcPr>
            <w:tcW w:type="pct" w:w="1000"/>
            <w:tcBorders>
              <w:top w:val="none"/>
              <w:left w:val="none"/>
              <w:bottom w:val="single" w:color="CCCCCC" w:sz="6"/>
              <w:right w:val="none"/>
            </w:tcBorders>
          </w:tcPr>
          <w:p>
            <w:pPr>
              <w:jc w:val="left"/>
            </w:pPr>
            <w:r>
              <w:rPr>
                <w:b w:val="false"/>
                <w:bCs w:val="false"/>
                <w:sz w:val="18"/>
                <w:szCs w:val="18"/>
              </w:rPr>
              <w:t xml:space="preserve">Password123!</w:t>
            </w:r>
          </w:p>
        </w:tc>
      </w:tr>
    </w:tbl>
    <w:p>
      <w:pPr>
        <w:spacing w:after="240" w:before="120"/>
      </w:pPr>
      <w:r>
        <w:rPr>
          <w:b/>
          <w:bCs/>
          <w:i/>
          <w:iCs/>
        </w:rPr>
        <w:t xml:space="preserve">Nota. </w:t>
      </w:r>
      <w:r>
        <w:rPr>
          <w:i/>
          <w:iCs/>
        </w:rPr>
        <w:t xml:space="preserve">Elaboración propia (2026). Datos iniciales persistidos en la base de datos central de TiDB Cloud en AWS São Paulo.</w:t>
      </w:r>
    </w:p>
    <w:p>
      <w:pPr>
        <w:jc w:val="both"/>
      </w:pPr>
      <w:r>
        <w:rPr>
          <w:b/>
          <w:bCs/>
        </w:rPr>
        <w:t xml:space="preserve">Autenticación Social Federada: </w:t>
      </w:r>
      <w:r>
        <w:t xml:space="preserve">La app incorpora botones dedicados de "Continuar con Google", "Continuar con Discord" y "Continuar con GitHub". Por seguridad informática institucional, el inicio mediante redes sociales está habilitado de forma exclusiva para clientes (CUSTOMER). Cualquier intento de asociar cuentas administrativas o de empleados a un proveedor externo es bloqueado por el servidor con código HTTP 403 Forbidden.</w:t>
      </w:r>
    </w:p>
    <w:p>
      <w:pPr>
        <w:spacing w:after="240" w:before="480"/>
        <w:jc w:val="left"/>
      </w:pPr>
      <w:r>
        <w:rPr>
          <w:b/>
          <w:bCs/>
          <w:sz w:val="26"/>
          <w:szCs w:val="26"/>
        </w:rPr>
        <w:t xml:space="preserve">4. Manual de Operación para el Cliente (Customer Journey)</w:t>
      </w:r>
    </w:p>
    <w:p>
      <w:pPr>
        <w:jc w:val="both"/>
      </w:pPr>
      <w:r>
        <w:t xml:space="preserve">El recorrido del cliente contempla las siguientes etapas operativas dentro de la aplicación móvil:</w:t>
      </w:r>
    </w:p>
    <w:p>
      <w:pPr>
        <w:spacing w:after="120" w:before="240"/>
        <w:jc w:val="left"/>
      </w:pPr>
      <w:r>
        <w:rPr>
          <w:b/>
          <w:bCs/>
          <w:sz w:val="24"/>
          <w:szCs w:val="24"/>
        </w:rPr>
        <w:t xml:space="preserve">4.1 Barra de Pestañas Inferior</w:t>
      </w:r>
    </w:p>
    <w:p>
      <w:pPr>
        <w:jc w:val="both"/>
      </w:pPr>
      <w:r>
        <w:t xml:space="preserve">La navegación se articula a través de cinco accesos directos permanentes:
</w:t>
      </w:r>
      <w:r>
        <w:rPr>
          <w:b/>
          <w:bCs/>
        </w:rPr>
        <w:t xml:space="preserve">• Carta (Ícono Café): </w:t>
      </w:r>
      <w:r>
        <w:t xml:space="preserve">Catálogo ordenado en carruseles por categoría y buscador instantáneo.
</w:t>
      </w:r>
      <w:r>
        <w:rPr>
          <w:b/>
          <w:bCs/>
        </w:rPr>
        <w:t xml:space="preserve">• Sucursales (Ícono Ubicación): </w:t>
      </w:r>
      <w:r>
        <w:t xml:space="preserve">Selección de local físico mediante GPS, escaneo de QR o búsqueda textual.
</w:t>
      </w:r>
      <w:r>
        <w:rPr>
          <w:b/>
          <w:bCs/>
        </w:rPr>
        <w:t xml:space="preserve">• Carrito (Ícono Canasta): </w:t>
      </w:r>
      <w:r>
        <w:t xml:space="preserve">Revisión de ítems, discriminación impositiva de IVA 21% y pasarela de pago.
</w:t>
      </w:r>
      <w:r>
        <w:rPr>
          <w:b/>
          <w:bCs/>
        </w:rPr>
        <w:t xml:space="preserve">• Mis Pedidos (Ícono Recibo): </w:t>
      </w:r>
      <w:r>
        <w:t xml:space="preserve">Seguimiento en tiempo real con actualización reactiva cada 5 segundos.
</w:t>
      </w:r>
      <w:r>
        <w:rPr>
          <w:b/>
          <w:bCs/>
        </w:rPr>
        <w:t xml:space="preserve">• Mi Perfil (Ícono Usuario): </w:t>
      </w:r>
      <w:r>
        <w:t xml:space="preserve">Puntos acumulados (LateSoft Rewards), alternancia de tema visual y cierre de sesión.</w:t>
      </w:r>
    </w:p>
    <w:p>
      <w:pPr>
        <w:spacing w:after="120" w:before="240"/>
        <w:jc w:val="left"/>
      </w:pPr>
      <w:r>
        <w:rPr>
          <w:b/>
          <w:bCs/>
          <w:sz w:val="24"/>
          <w:szCs w:val="24"/>
        </w:rPr>
        <w:t xml:space="preserve">4.2 Selección de Sucursal y Menú</w:t>
      </w:r>
    </w:p>
    <w:p>
      <w:pPr>
        <w:jc w:val="both"/>
      </w:pPr>
      <w:r>
        <w:t xml:space="preserve">1. En la pestaña Sucursales, el sistema detecta mediante GPS la tienda más próxima (ej. LateSoft Palermo Soho a 1.2 km).
</w:t>
      </w:r>
      <w:r>
        <w:t xml:space="preserve">2. En caso de encontrarse presencialmente en el local, presione el botón marrón de Código QR y apunte la lente al código en mostrador; la tienda quedará seleccionada en un instante.
</w:t>
      </w:r>
      <w:r>
        <w:t xml:space="preserve">3. En la Carta, navegue los carruseles de productos. Al tocar un café, podrá ajustar el número de unidades y escribir notas personalizadas para el barista (ej. "Leche de avena, sin azúcar").</w:t>
      </w:r>
    </w:p>
    <w:p>
      <w:pPr>
        <w:spacing w:after="120" w:before="240"/>
        <w:jc w:val="left"/>
      </w:pPr>
      <w:r>
        <w:rPr>
          <w:b/>
          <w:bCs/>
          <w:sz w:val="24"/>
          <w:szCs w:val="24"/>
        </w:rPr>
        <w:t xml:space="preserve">4.3 Checkout y Pasarela de Pago con Mercado Pago</w:t>
      </w:r>
    </w:p>
    <w:p>
      <w:pPr>
        <w:jc w:val="both"/>
      </w:pPr>
      <w:r>
        <w:t xml:space="preserve">Al ingresar al Carrito, el cliente elige la modalidad de retiro ("Para llevar" o "Consumir en el local") y visualiza el total en pesos argentinos con el 21% de IVA desglosado. Existen dos modalidades de pago:
</w:t>
      </w:r>
      <w:r>
        <w:rPr>
          <w:b/>
          <w:bCs/>
        </w:rPr>
        <w:t xml:space="preserve">• Pago en Caja: </w:t>
      </w:r>
      <w:r>
        <w:t xml:space="preserve">Genera el pedido para abonar al retirar en mostrador.
</w:t>
      </w:r>
      <w:r>
        <w:rPr>
          <w:b/>
          <w:bCs/>
        </w:rPr>
        <w:t xml:space="preserve">• Transferencia Mercado Pago: </w:t>
      </w:r>
      <w:r>
        <w:t xml:space="preserve">El sistema expone el Alias exclusivo del local (ej. latesoft.palermo.mp) y el código QR de cobro. El usuario transfiere desde su aplicación bancaria o billetera digital, ingresa obligatoriamente el Número de Operación (8 a 12 dígitos) y adjunta la captura del comprobante. El pedido se emite en estado "PENDING_VERIFICATION".</w:t>
      </w:r>
    </w:p>
    <w:p>
      <w:pPr>
        <w:spacing w:after="120" w:before="240"/>
        <w:jc w:val="left"/>
      </w:pPr>
      <w:r>
        <w:rPr>
          <w:b/>
          <w:bCs/>
          <w:sz w:val="24"/>
          <w:szCs w:val="24"/>
        </w:rPr>
        <w:t xml:space="preserve">4.4 Seguimiento en Vivo y Reenvío de Comprobantes</w:t>
      </w:r>
    </w:p>
    <w:p>
      <w:pPr>
        <w:jc w:val="both"/>
      </w:pPr>
      <w:r>
        <w:t xml:space="preserve">En "Mis Pedidos", la comanda pasa por un indicador visual de 4 pasos (Recibido -&gt; En preparación -&gt; Listo -&gt; Entregado). Si el pago fue con Mercado Pago, mostrará el estado "VERIFICANDO PAGO (MP)". Si el cajero constata un importe insuficiente o comprobante erróneo, la tarjeta mostrará el motivo del rechazo en rojo y habilitará el botón "Volver a subir comprobante", permitiendo subsanar el error sin perder los ítems cargados.</w:t>
      </w:r>
    </w:p>
    <w:p>
      <w:pPr>
        <w:spacing w:after="240" w:before="480"/>
        <w:jc w:val="left"/>
      </w:pPr>
      <w:r>
        <w:rPr>
          <w:b/>
          <w:bCs/>
          <w:sz w:val="26"/>
          <w:szCs w:val="26"/>
        </w:rPr>
        <w:t xml:space="preserve">5. Manual de Operación para el Cajero (Punto de Venta - POS)</w:t>
      </w:r>
    </w:p>
    <w:p>
      <w:pPr>
        <w:jc w:val="both"/>
      </w:pPr>
      <w:r>
        <w:t xml:space="preserve">Al iniciar sesión con una cuenta de Cajero, la terminal abre el sistema POS:
</w:t>
      </w:r>
      <w:r>
        <w:rPr>
          <w:b/>
          <w:bCs/>
        </w:rPr>
        <w:t xml:space="preserve">1. Facturación en Mostrador: </w:t>
      </w:r>
      <w:r>
        <w:t xml:space="preserve">Búsqueda de productos en grilla táctil. Al cobrar en efectivo, el sistema calcula de forma automática el vuelto exacto a entregar al cliente.
</w:t>
      </w:r>
      <w:r>
        <w:rPr>
          <w:b/>
          <w:bCs/>
        </w:rPr>
        <w:t xml:space="preserve">2. Bandeja de Transferencias MP: </w:t>
      </w:r>
      <w:r>
        <w:t xml:space="preserve">En la pestaña "Transferencias MP", el cajero revisa las órdenes pendientes. Puede presionar sobre el comprobante para ampliarlo y verificar el número de operación. Si el dinero está acreditado, presiona "Aprobar Pago" (lo que envía la orden al KDS de la cocina y otorga puntos al cliente). Si no coincide el monto, presiona "Rechazar" e ingresa la justificación obligatoria.</w:t>
      </w:r>
    </w:p>
    <w:p>
      <w:pPr>
        <w:spacing w:after="240" w:before="480"/>
        <w:jc w:val="left"/>
      </w:pPr>
      <w:r>
        <w:rPr>
          <w:b/>
          <w:bCs/>
          <w:sz w:val="26"/>
          <w:szCs w:val="26"/>
        </w:rPr>
        <w:t xml:space="preserve">6. Manual de Operación para Baristas y Cocina (KDS)</w:t>
      </w:r>
    </w:p>
    <w:p>
      <w:pPr>
        <w:jc w:val="both"/>
      </w:pPr>
      <w:r>
        <w:t xml:space="preserve">La estación de barista opera en tabletas en posición horizontal (apaisado) con pantalla activa permanente:
</w:t>
      </w:r>
      <w:r>
        <w:rPr>
          <w:b/>
          <w:bCs/>
        </w:rPr>
        <w:t xml:space="preserve">• Flujo de Comandas: </w:t>
      </w:r>
      <w:r>
        <w:t xml:space="preserve">Tres columnas organizadas: Pendientes (Naranja), En preparación (Azul) y Listos (Verde). Un toque sobre la comanda cambia su estado hacia la siguiente etapa.
</w:t>
      </w:r>
      <w:r>
        <w:rPr>
          <w:b/>
          <w:bCs/>
        </w:rPr>
        <w:t xml:space="preserve">• Alerta Háptica: </w:t>
      </w:r>
      <w:r>
        <w:t xml:space="preserve">El dispositivo vibra automáticamente cada vez que un nuevo pedido entra a cocina.
</w:t>
      </w:r>
      <w:r>
        <w:rPr>
          <w:b/>
          <w:bCs/>
        </w:rPr>
        <w:t xml:space="preserve">• Pausa de Stock: </w:t>
      </w:r>
      <w:r>
        <w:t xml:space="preserve">Mediante el botón "Pausar Producto", el barista puede suspender al instante cualquier ítem que se haya quedado sin materia prima, reactivándolo con un toque cuando se reponga el insumo.</w:t>
      </w:r>
    </w:p>
    <w:p>
      <w:pPr>
        <w:spacing w:after="240" w:before="480"/>
        <w:jc w:val="left"/>
      </w:pPr>
      <w:r>
        <w:rPr>
          <w:b/>
          <w:bCs/>
          <w:sz w:val="26"/>
          <w:szCs w:val="26"/>
        </w:rPr>
        <w:t xml:space="preserve">7. Manual del Encargado de Sucursal (Manager)</w:t>
      </w:r>
    </w:p>
    <w:p>
      <w:pPr>
        <w:jc w:val="both"/>
      </w:pPr>
      <w:r>
        <w:rPr>
          <w:b/>
          <w:bCs/>
        </w:rPr>
        <w:t xml:space="preserve">1. Anulación con PIN de Supervisor (Manager Override): </w:t>
      </w:r>
      <w:r>
        <w:t xml:space="preserve">Para anular comandas cobradas o pedidos erróneos, el sistema requiere el PIN de seguridad de 4 dígitos del encargado (predeterminado: 1234), registrando la causa y fecha en auditoría.
</w:t>
      </w:r>
      <w:r>
        <w:rPr>
          <w:b/>
          <w:bCs/>
        </w:rPr>
        <w:t xml:space="preserve">2. Arqueo y Control de Turnos (Cash Shifts): </w:t>
      </w:r>
      <w:r>
        <w:t xml:space="preserve">Al iniciar la jornada se declara el efectivo inicial en caja. Al cierre, el encargado introduce el recuento físico ciego de billetes; el sistema emite el reporte de discrepancias (sobrante o faltante) y archiva el turno.</w:t>
      </w:r>
    </w:p>
    <w:p>
      <w:pPr>
        <w:spacing w:after="240" w:before="480"/>
        <w:jc w:val="left"/>
      </w:pPr>
      <w:r>
        <w:rPr>
          <w:b/>
          <w:bCs/>
          <w:sz w:val="26"/>
          <w:szCs w:val="26"/>
        </w:rPr>
        <w:t xml:space="preserve">8. Manual del Administrador Central (Executive Dashboard)</w:t>
      </w:r>
    </w:p>
    <w:p>
      <w:pPr>
        <w:jc w:val="both"/>
      </w:pPr>
      <w:r>
        <w:t xml:space="preserve">El rol Administrador dispone de un panel analítico integral:
</w:t>
      </w:r>
      <w:r>
        <w:rPr>
          <w:b/>
          <w:bCs/>
        </w:rPr>
        <w:t xml:space="preserve">• Comparativa de Sucursales: </w:t>
      </w:r>
      <w:r>
        <w:t xml:space="preserve">Gráficos de facturación, ticket promedio y volumen de órdenes de Palermo, Belgrano y San Telmo.
</w:t>
      </w:r>
      <w:r>
        <w:rPr>
          <w:b/>
          <w:bCs/>
        </w:rPr>
        <w:t xml:space="preserve">• Ranking de Ventas: </w:t>
      </w:r>
      <w:r>
        <w:t xml:space="preserve">Listado de productos con mayor rendimiento comercial.
</w:t>
      </w:r>
      <w:r>
        <w:rPr>
          <w:b/>
          <w:bCs/>
        </w:rPr>
        <w:t xml:space="preserve">• Auditoría Forense (/audit): </w:t>
      </w:r>
      <w:r>
        <w:t xml:space="preserve">Registro inmutable de todas las acciones de alta criticidad en el sistema (cambios de precios, overrides, creación de personal).</w:t>
      </w:r>
    </w:p>
    <w:p>
      <w:pPr>
        <w:spacing w:after="240" w:before="480"/>
        <w:jc w:val="left"/>
      </w:pPr>
      <w:r>
        <w:rPr>
          <w:b/>
          <w:bCs/>
          <w:sz w:val="26"/>
          <w:szCs w:val="26"/>
        </w:rPr>
        <w:t xml:space="preserve">9. Preguntas Frecuentes y Resolución de Incidencias</w:t>
      </w:r>
    </w:p>
    <w:p>
      <w:pPr>
        <w:jc w:val="both"/>
      </w:pPr>
      <w:r>
        <w:rPr>
          <w:b/>
          <w:bCs/>
        </w:rPr>
        <w:t xml:space="preserve">¿Qué ocurre si la app dice "Sucursal no encontrada"?
</w:t>
      </w:r>
      <w:r>
        <w:t xml:space="preserve">La app incluye autorecuperación: ingrese a Sucursales y toque sobre cualquiera de las tiendas para sincronizar el menú automáticamente.
</w:t>
      </w:r>
      <w:r>
        <w:rPr>
          <w:b/>
          <w:bCs/>
        </w:rPr>
        <w:t xml:space="preserve">¿Se pierden los datos si no hay señal en el teléfono?
</w:t>
      </w:r>
      <w:r>
        <w:t xml:space="preserve">No. El sistema cuenta con detección de desconexión (Offline Banner) y tokens idempotentes que impiden pagos duplicados al restablecerse la red.
</w:t>
      </w:r>
      <w:r>
        <w:rPr>
          <w:b/>
          <w:bCs/>
        </w:rPr>
        <w:t xml:space="preserve">¿El comprobante de Mercado Pago fue rechazado?
</w:t>
      </w:r>
      <w:r>
        <w:t xml:space="preserve">Revise el motivo informado en la tarjeta del pedido en "Mis Pedidos" y presione "Volver a subir comprobante" para adjuntar la captura correcta.</w:t>
      </w:r>
    </w:p>
    <w:p>
      <w:pPr>
        <w:pageBreakBefore/>
        <w:spacing w:after="360" w:before="360"/>
        <w:jc w:val="center"/>
      </w:pPr>
      <w:r>
        <w:rPr>
          <w:b/>
          <w:bCs/>
          <w:sz w:val="26"/>
          <w:szCs w:val="26"/>
        </w:rPr>
        <w:t xml:space="preserve">Referencias</w:t>
      </w:r>
    </w:p>
    <w:p>
      <w:pPr>
        <w:jc w:val="left"/>
      </w:pPr>
      <w:r>
        <w:t xml:space="preserve">American Psychological Association. (2020). Publication manual of the American Psychological Association (7th ed.). https://doi.org/10.1037/0000165-000
Expo Documentation Team. (2026). EAS Build: Building standalone Android applications with APK profiles. Expo Documentation. https://docs.expo.dev/build-reference/apk/
Fielding, R. T. (2000). Architectural styles and the design of network-based software architectures (Doctoral dissertation). University of California, Irvine.
Node.js Foundation. (2026). Node.js design patterns and enterprise RESTful architectures. OpenJS Foundation.
PingCAP. (2026). TiDB Cloud architecture documentation: Serverless MySQL compatibility and ACID compliance. PingCAP Docs. https://docs.pingcap.com/tidbcloud/
React Native Core Team. (2026). React Native architecture and cross-platform mobile user interfaces. Meta Platforms &amp; Open Source Community. https://reactnative.dev/docs/architecture-overview</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after="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2026-10-30T17:55:20.251Z</dcterms:created>
  <dcterms:modified xsi:type="dcterms:W3CDTF">2026-10-30T17:55:20.252Z</dcterms:modified>
</cp:coreProperties>
</file>

<file path=docProps/custom.xml><?xml version="1.0" encoding="utf-8"?>
<Properties xmlns="http://schemas.openxmlformats.org/officeDocument/2006/custom-properties" xmlns:vt="http://schemas.openxmlformats.org/officeDocument/2006/docPropsVTypes"/>
</file>