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992"/>
        <w:gridCol w:w="3002"/>
        <w:gridCol w:w="2993"/>
      </w:tblGrid>
      <w:tr w:rsidR="00B93005" w:rsidTr="00B93005">
        <w:tc>
          <w:tcPr>
            <w:tcW w:w="2992" w:type="dxa"/>
          </w:tcPr>
          <w:p w:rsidR="00B93005" w:rsidRDefault="00B93005" w:rsidP="00B93005">
            <w:r>
              <w:t>Concepto</w:t>
            </w:r>
          </w:p>
        </w:tc>
        <w:tc>
          <w:tcPr>
            <w:tcW w:w="2993" w:type="dxa"/>
          </w:tcPr>
          <w:p w:rsidR="00B93005" w:rsidRDefault="00B93005" w:rsidP="00B93005">
            <w:proofErr w:type="spellStart"/>
            <w:r>
              <w:t>Definicion</w:t>
            </w:r>
            <w:proofErr w:type="spellEnd"/>
          </w:p>
        </w:tc>
        <w:tc>
          <w:tcPr>
            <w:tcW w:w="2993" w:type="dxa"/>
          </w:tcPr>
          <w:p w:rsidR="00B93005" w:rsidRDefault="00B93005" w:rsidP="00B93005">
            <w:r>
              <w:t>Importancia para crecimiento económico de una nación</w:t>
            </w:r>
          </w:p>
        </w:tc>
      </w:tr>
      <w:tr w:rsidR="00B93005" w:rsidTr="00B93005">
        <w:tc>
          <w:tcPr>
            <w:tcW w:w="2992" w:type="dxa"/>
          </w:tcPr>
          <w:p w:rsidR="00B93005" w:rsidRDefault="00B93005" w:rsidP="00B93005">
            <w:r>
              <w:t>Necesidades humanas</w:t>
            </w:r>
          </w:p>
        </w:tc>
        <w:tc>
          <w:tcPr>
            <w:tcW w:w="2993" w:type="dxa"/>
          </w:tcPr>
          <w:p w:rsidR="00B93005" w:rsidRDefault="00470BE7" w:rsidP="00B93005">
            <w:r>
              <w:rPr>
                <w:rFonts w:ascii="Arial" w:hAnsi="Arial" w:cs="Arial"/>
                <w:color w:val="000000"/>
              </w:rPr>
              <w:t>Las necesidades humanas fundamentales son: subsistencia (salud, alimentación, etc.), protección (sistemas de seguridad y prevención, vivienda, etc.), afecto (familia, amistades, privacidad, etc.) entendimiento (</w:t>
            </w:r>
            <w:proofErr w:type="gramStart"/>
            <w:r>
              <w:rPr>
                <w:rFonts w:ascii="Arial" w:hAnsi="Arial" w:cs="Arial"/>
                <w:color w:val="000000"/>
              </w:rPr>
              <w:t>educación ,</w:t>
            </w:r>
            <w:proofErr w:type="gramEnd"/>
            <w:r>
              <w:rPr>
                <w:rFonts w:ascii="Arial" w:hAnsi="Arial" w:cs="Arial"/>
                <w:color w:val="000000"/>
              </w:rPr>
              <w:t xml:space="preserve"> comunicación, etc.), participación  (derechos, responsabilidades, trabajo, etc.), ocio (juegos, espectáculos) creación (habilidades, destrezas), identidad (grupos de referencia, sexualidad, valores), libertad (igualdad de derechos).</w:t>
            </w:r>
          </w:p>
        </w:tc>
        <w:tc>
          <w:tcPr>
            <w:tcW w:w="2993" w:type="dxa"/>
          </w:tcPr>
          <w:p w:rsidR="00B93005" w:rsidRDefault="00B93005" w:rsidP="00B93005"/>
        </w:tc>
      </w:tr>
      <w:tr w:rsidR="00B93005" w:rsidTr="00B93005">
        <w:tc>
          <w:tcPr>
            <w:tcW w:w="2992" w:type="dxa"/>
          </w:tcPr>
          <w:p w:rsidR="00B93005" w:rsidRDefault="00B93005" w:rsidP="00B93005">
            <w:proofErr w:type="spellStart"/>
            <w:r>
              <w:t>Satisfactor</w:t>
            </w:r>
            <w:proofErr w:type="spellEnd"/>
          </w:p>
        </w:tc>
        <w:tc>
          <w:tcPr>
            <w:tcW w:w="2993" w:type="dxa"/>
          </w:tcPr>
          <w:p w:rsidR="00B93005" w:rsidRDefault="00470BE7" w:rsidP="00B93005">
            <w:r>
              <w:rPr>
                <w:rStyle w:val="Textoennegrita"/>
                <w:rFonts w:ascii="Verdana" w:hAnsi="Verdana"/>
                <w:color w:val="CC66CC"/>
                <w:sz w:val="21"/>
                <w:szCs w:val="21"/>
                <w:shd w:val="clear" w:color="auto" w:fill="F7F0E9"/>
              </w:rPr>
              <w:t xml:space="preserve">Se entiende por </w:t>
            </w:r>
            <w:proofErr w:type="spellStart"/>
            <w:r>
              <w:rPr>
                <w:rStyle w:val="Textoennegrita"/>
                <w:rFonts w:ascii="Verdana" w:hAnsi="Verdana"/>
                <w:color w:val="CC66CC"/>
                <w:sz w:val="21"/>
                <w:szCs w:val="21"/>
                <w:shd w:val="clear" w:color="auto" w:fill="F7F0E9"/>
              </w:rPr>
              <w:t>satisfactor</w:t>
            </w:r>
            <w:proofErr w:type="spellEnd"/>
            <w:r>
              <w:rPr>
                <w:rStyle w:val="Textoennegrita"/>
                <w:rFonts w:ascii="Verdana" w:hAnsi="Verdana"/>
                <w:color w:val="CC66CC"/>
                <w:sz w:val="21"/>
                <w:szCs w:val="21"/>
                <w:shd w:val="clear" w:color="auto" w:fill="F7F0E9"/>
              </w:rPr>
              <w:t xml:space="preserve"> a todo </w:t>
            </w:r>
            <w:hyperlink r:id="rId5" w:tooltip="Bien de consumo" w:history="1">
              <w:r>
                <w:rPr>
                  <w:rStyle w:val="Textoennegrita"/>
                  <w:rFonts w:ascii="Verdana" w:hAnsi="Verdana" w:cs="Helvetica"/>
                  <w:color w:val="CC66CC"/>
                  <w:sz w:val="21"/>
                  <w:szCs w:val="21"/>
                  <w:u w:val="single"/>
                  <w:shd w:val="clear" w:color="auto" w:fill="F7F0E9"/>
                </w:rPr>
                <w:t>bien de consumo</w:t>
              </w:r>
            </w:hyperlink>
            <w:r>
              <w:rPr>
                <w:rStyle w:val="Textoennegrita"/>
                <w:rFonts w:ascii="Verdana" w:hAnsi="Verdana"/>
                <w:color w:val="CC66CC"/>
                <w:sz w:val="21"/>
                <w:szCs w:val="21"/>
                <w:shd w:val="clear" w:color="auto" w:fill="F7F0E9"/>
              </w:rPr>
              <w:t> que cubre </w:t>
            </w:r>
            <w:hyperlink r:id="rId6" w:tooltip="Necesidad" w:history="1">
              <w:r>
                <w:rPr>
                  <w:rStyle w:val="Textoennegrita"/>
                  <w:rFonts w:ascii="Verdana" w:hAnsi="Verdana" w:cs="Helvetica"/>
                  <w:color w:val="CC66CC"/>
                  <w:sz w:val="21"/>
                  <w:szCs w:val="21"/>
                  <w:u w:val="single"/>
                  <w:shd w:val="clear" w:color="auto" w:fill="F7F0E9"/>
                </w:rPr>
                <w:t>necesidades</w:t>
              </w:r>
            </w:hyperlink>
            <w:r>
              <w:rPr>
                <w:rStyle w:val="Textoennegrita"/>
                <w:rFonts w:ascii="Verdana" w:hAnsi="Verdana"/>
                <w:color w:val="CC66CC"/>
                <w:sz w:val="21"/>
                <w:szCs w:val="21"/>
                <w:shd w:val="clear" w:color="auto" w:fill="F7F0E9"/>
              </w:rPr>
              <w:t> para el </w:t>
            </w:r>
            <w:hyperlink r:id="rId7" w:tooltip="Hombre" w:history="1">
              <w:r>
                <w:rPr>
                  <w:rStyle w:val="Textoennegrita"/>
                  <w:rFonts w:ascii="Verdana" w:hAnsi="Verdana" w:cs="Helvetica"/>
                  <w:color w:val="CC66CC"/>
                  <w:sz w:val="21"/>
                  <w:szCs w:val="21"/>
                  <w:u w:val="single"/>
                  <w:shd w:val="clear" w:color="auto" w:fill="F7F0E9"/>
                </w:rPr>
                <w:t>hombre</w:t>
              </w:r>
            </w:hyperlink>
            <w:r>
              <w:rPr>
                <w:rStyle w:val="Textoennegrita"/>
                <w:rFonts w:ascii="Verdana" w:hAnsi="Verdana"/>
                <w:color w:val="CC66CC"/>
                <w:sz w:val="21"/>
                <w:szCs w:val="21"/>
                <w:shd w:val="clear" w:color="auto" w:fill="F7F0E9"/>
              </w:rPr>
              <w:t xml:space="preserve">. Los </w:t>
            </w:r>
            <w:proofErr w:type="spellStart"/>
            <w:r>
              <w:rPr>
                <w:rStyle w:val="Textoennegrita"/>
                <w:rFonts w:ascii="Verdana" w:hAnsi="Verdana"/>
                <w:color w:val="CC66CC"/>
                <w:sz w:val="21"/>
                <w:szCs w:val="21"/>
                <w:shd w:val="clear" w:color="auto" w:fill="F7F0E9"/>
              </w:rPr>
              <w:t>satisfactores</w:t>
            </w:r>
            <w:proofErr w:type="spellEnd"/>
            <w:r>
              <w:rPr>
                <w:rStyle w:val="Textoennegrita"/>
                <w:rFonts w:ascii="Verdana" w:hAnsi="Verdana"/>
                <w:color w:val="CC66CC"/>
                <w:sz w:val="21"/>
                <w:szCs w:val="21"/>
                <w:shd w:val="clear" w:color="auto" w:fill="F7F0E9"/>
              </w:rPr>
              <w:t xml:space="preserve"> son las </w:t>
            </w:r>
            <w:hyperlink r:id="rId8" w:tooltip="Cosas materiales (aún no redactado)" w:history="1">
              <w:r>
                <w:rPr>
                  <w:rStyle w:val="Textoennegrita"/>
                  <w:rFonts w:ascii="Verdana" w:hAnsi="Verdana" w:cs="Helvetica"/>
                  <w:color w:val="CC66CC"/>
                  <w:sz w:val="21"/>
                  <w:szCs w:val="21"/>
                  <w:u w:val="single"/>
                  <w:shd w:val="clear" w:color="auto" w:fill="F7F0E9"/>
                </w:rPr>
                <w:t>cosas materiales</w:t>
              </w:r>
            </w:hyperlink>
            <w:r>
              <w:rPr>
                <w:rStyle w:val="Textoennegrita"/>
                <w:rFonts w:ascii="Verdana" w:hAnsi="Verdana"/>
                <w:color w:val="CC66CC"/>
                <w:sz w:val="21"/>
                <w:szCs w:val="21"/>
                <w:shd w:val="clear" w:color="auto" w:fill="F7F0E9"/>
              </w:rPr>
              <w:t> que nos facilitan la vida</w:t>
            </w:r>
          </w:p>
        </w:tc>
        <w:tc>
          <w:tcPr>
            <w:tcW w:w="2993" w:type="dxa"/>
          </w:tcPr>
          <w:p w:rsidR="00B93005" w:rsidRDefault="00B93005" w:rsidP="00B93005"/>
        </w:tc>
      </w:tr>
      <w:tr w:rsidR="00B93005" w:rsidTr="00B93005">
        <w:tc>
          <w:tcPr>
            <w:tcW w:w="2992" w:type="dxa"/>
          </w:tcPr>
          <w:p w:rsidR="00B93005" w:rsidRDefault="00470BE7" w:rsidP="00470BE7">
            <w:r>
              <w:t>V</w:t>
            </w:r>
            <w:r w:rsidR="00B93005">
              <w:t>alores</w:t>
            </w:r>
          </w:p>
        </w:tc>
        <w:tc>
          <w:tcPr>
            <w:tcW w:w="2993" w:type="dxa"/>
          </w:tcPr>
          <w:p w:rsidR="00B93005" w:rsidRDefault="00EC6436" w:rsidP="00B93005">
            <w:r>
              <w:rPr>
                <w:rFonts w:ascii="Arial" w:hAnsi="Arial" w:cs="Arial"/>
                <w:color w:val="404040"/>
                <w:sz w:val="20"/>
                <w:szCs w:val="20"/>
                <w:shd w:val="clear" w:color="auto" w:fill="FFFFFF"/>
              </w:rPr>
              <w:t>Los valores son aquellos </w:t>
            </w:r>
            <w:r>
              <w:rPr>
                <w:rStyle w:val="Textoennegrita"/>
                <w:rFonts w:ascii="Arial" w:hAnsi="Arial" w:cs="Arial"/>
                <w:color w:val="404040"/>
                <w:sz w:val="20"/>
                <w:szCs w:val="20"/>
                <w:bdr w:val="none" w:sz="0" w:space="0" w:color="auto" w:frame="1"/>
                <w:shd w:val="clear" w:color="auto" w:fill="FFFFFF"/>
              </w:rPr>
              <w:t>principios, virtudes o cualidades </w:t>
            </w:r>
            <w:r>
              <w:rPr>
                <w:rFonts w:ascii="Arial" w:hAnsi="Arial" w:cs="Arial"/>
                <w:color w:val="404040"/>
                <w:sz w:val="20"/>
                <w:szCs w:val="20"/>
                <w:shd w:val="clear" w:color="auto" w:fill="FFFFFF"/>
              </w:rPr>
              <w:t>que caracterizan a una persona, una acción o un objeto que se consideran típicamente positivos o </w:t>
            </w:r>
            <w:r>
              <w:rPr>
                <w:rStyle w:val="Textoennegrita"/>
                <w:rFonts w:ascii="Arial" w:hAnsi="Arial" w:cs="Arial"/>
                <w:color w:val="404040"/>
                <w:sz w:val="20"/>
                <w:szCs w:val="20"/>
                <w:bdr w:val="none" w:sz="0" w:space="0" w:color="auto" w:frame="1"/>
                <w:shd w:val="clear" w:color="auto" w:fill="FFFFFF"/>
              </w:rPr>
              <w:t>de gran importancia por un grupo social</w:t>
            </w:r>
            <w:r>
              <w:rPr>
                <w:rFonts w:ascii="Arial" w:hAnsi="Arial" w:cs="Arial"/>
                <w:color w:val="404040"/>
                <w:sz w:val="20"/>
                <w:szCs w:val="20"/>
                <w:shd w:val="clear" w:color="auto" w:fill="FFFFFF"/>
              </w:rPr>
              <w:t>.</w:t>
            </w:r>
          </w:p>
        </w:tc>
        <w:tc>
          <w:tcPr>
            <w:tcW w:w="2993" w:type="dxa"/>
          </w:tcPr>
          <w:p w:rsidR="00B93005" w:rsidRDefault="00B93005" w:rsidP="00B93005"/>
        </w:tc>
      </w:tr>
      <w:tr w:rsidR="00B93005" w:rsidTr="00B93005">
        <w:tc>
          <w:tcPr>
            <w:tcW w:w="2992" w:type="dxa"/>
          </w:tcPr>
          <w:p w:rsidR="00B93005" w:rsidRDefault="00B93005" w:rsidP="00B93005">
            <w:r>
              <w:t>Consumismo</w:t>
            </w:r>
          </w:p>
        </w:tc>
        <w:tc>
          <w:tcPr>
            <w:tcW w:w="2993" w:type="dxa"/>
          </w:tcPr>
          <w:p w:rsidR="00B93005" w:rsidRDefault="00EC6436" w:rsidP="00B93005">
            <w:r>
              <w:rPr>
                <w:rFonts w:ascii="Helvetica" w:hAnsi="Helvetica" w:cs="Helvetica"/>
                <w:b/>
                <w:bCs/>
                <w:color w:val="001133"/>
                <w:sz w:val="19"/>
                <w:szCs w:val="19"/>
                <w:shd w:val="clear" w:color="auto" w:fill="FFFFFF"/>
              </w:rPr>
              <w:t>Consumismo</w:t>
            </w:r>
            <w:r>
              <w:rPr>
                <w:rFonts w:ascii="Helvetica" w:hAnsi="Helvetica" w:cs="Helvetica"/>
                <w:color w:val="001133"/>
                <w:sz w:val="19"/>
                <w:szCs w:val="19"/>
                <w:shd w:val="clear" w:color="auto" w:fill="FFFFFF"/>
              </w:rPr>
              <w:t> puede referirse tanto a la acumulación, compra o consumo de bienes y servicios considerados no esenciales, como al sistema político y económico que promueve la adquisición competitiva de riqueza como signo de status y prestigio dentro de un grupo social.</w:t>
            </w:r>
          </w:p>
        </w:tc>
        <w:tc>
          <w:tcPr>
            <w:tcW w:w="2993" w:type="dxa"/>
          </w:tcPr>
          <w:p w:rsidR="00B93005" w:rsidRDefault="00B93005" w:rsidP="00B93005"/>
        </w:tc>
      </w:tr>
      <w:tr w:rsidR="00B93005" w:rsidTr="00B93005">
        <w:tc>
          <w:tcPr>
            <w:tcW w:w="2992" w:type="dxa"/>
          </w:tcPr>
          <w:p w:rsidR="00B93005" w:rsidRDefault="00B93005" w:rsidP="00B93005">
            <w:r>
              <w:t>Naturaleza</w:t>
            </w:r>
          </w:p>
        </w:tc>
        <w:tc>
          <w:tcPr>
            <w:tcW w:w="2993" w:type="dxa"/>
          </w:tcPr>
          <w:p w:rsidR="00B93005" w:rsidRDefault="00EC6436" w:rsidP="00B93005">
            <w:proofErr w:type="gramStart"/>
            <w:r>
              <w:rPr>
                <w:rFonts w:ascii="Arial" w:hAnsi="Arial" w:cs="Arial"/>
                <w:color w:val="404040"/>
                <w:sz w:val="20"/>
                <w:szCs w:val="20"/>
                <w:shd w:val="clear" w:color="auto" w:fill="FFFFFF"/>
              </w:rPr>
              <w:t>el</w:t>
            </w:r>
            <w:proofErr w:type="gramEnd"/>
            <w:r>
              <w:rPr>
                <w:rFonts w:ascii="Arial" w:hAnsi="Arial" w:cs="Arial"/>
                <w:color w:val="404040"/>
                <w:sz w:val="20"/>
                <w:szCs w:val="20"/>
                <w:shd w:val="clear" w:color="auto" w:fill="FFFFFF"/>
              </w:rPr>
              <w:t xml:space="preserve"> conjunto de</w:t>
            </w:r>
            <w:r>
              <w:rPr>
                <w:rStyle w:val="Textoennegrita"/>
                <w:rFonts w:ascii="Arial" w:hAnsi="Arial" w:cs="Arial"/>
                <w:color w:val="404040"/>
                <w:sz w:val="20"/>
                <w:szCs w:val="20"/>
                <w:bdr w:val="none" w:sz="0" w:space="0" w:color="auto" w:frame="1"/>
                <w:shd w:val="clear" w:color="auto" w:fill="FFFFFF"/>
              </w:rPr>
              <w:t> todo lo existente</w:t>
            </w:r>
            <w:r>
              <w:rPr>
                <w:rFonts w:ascii="Arial" w:hAnsi="Arial" w:cs="Arial"/>
                <w:color w:val="404040"/>
                <w:sz w:val="20"/>
                <w:szCs w:val="20"/>
                <w:shd w:val="clear" w:color="auto" w:fill="FFFFFF"/>
              </w:rPr>
              <w:t xml:space="preserve">, es decir, el universo donde existimos: el cosmos, las galaxias y todo lo que hay </w:t>
            </w:r>
            <w:r>
              <w:rPr>
                <w:rFonts w:ascii="Arial" w:hAnsi="Arial" w:cs="Arial"/>
                <w:color w:val="404040"/>
                <w:sz w:val="20"/>
                <w:szCs w:val="20"/>
                <w:shd w:val="clear" w:color="auto" w:fill="FFFFFF"/>
              </w:rPr>
              <w:lastRenderedPageBreak/>
              <w:t>en ellas.</w:t>
            </w:r>
          </w:p>
        </w:tc>
        <w:tc>
          <w:tcPr>
            <w:tcW w:w="2993" w:type="dxa"/>
          </w:tcPr>
          <w:p w:rsidR="00B93005" w:rsidRDefault="00B93005" w:rsidP="00B93005"/>
        </w:tc>
      </w:tr>
      <w:tr w:rsidR="00B93005" w:rsidTr="00B93005">
        <w:tc>
          <w:tcPr>
            <w:tcW w:w="2992" w:type="dxa"/>
          </w:tcPr>
          <w:p w:rsidR="00B93005" w:rsidRDefault="00B93005" w:rsidP="00B93005">
            <w:r>
              <w:lastRenderedPageBreak/>
              <w:t>Ecología</w:t>
            </w:r>
          </w:p>
        </w:tc>
        <w:tc>
          <w:tcPr>
            <w:tcW w:w="2993" w:type="dxa"/>
          </w:tcPr>
          <w:p w:rsidR="00B93005" w:rsidRDefault="00EC6436" w:rsidP="00B93005">
            <w:r>
              <w:rPr>
                <w:rFonts w:ascii="Helvetica" w:hAnsi="Helvetica" w:cs="Helvetica"/>
                <w:color w:val="001133"/>
                <w:sz w:val="19"/>
                <w:szCs w:val="19"/>
                <w:shd w:val="clear" w:color="auto" w:fill="FFFFFF"/>
              </w:rPr>
              <w:t>Ciencia que estudia la relación entre los </w:t>
            </w:r>
            <w:hyperlink r:id="rId9" w:tooltip="Seres vivos" w:history="1">
              <w:r>
                <w:rPr>
                  <w:rStyle w:val="Hipervnculo"/>
                  <w:rFonts w:ascii="Helvetica" w:hAnsi="Helvetica" w:cs="Helvetica"/>
                  <w:color w:val="006699"/>
                  <w:sz w:val="19"/>
                  <w:szCs w:val="19"/>
                  <w:shd w:val="clear" w:color="auto" w:fill="FFFFFF"/>
                </w:rPr>
                <w:t>seres vivos</w:t>
              </w:r>
            </w:hyperlink>
            <w:r>
              <w:rPr>
                <w:rFonts w:ascii="Helvetica" w:hAnsi="Helvetica" w:cs="Helvetica"/>
                <w:color w:val="001133"/>
                <w:sz w:val="19"/>
                <w:szCs w:val="19"/>
                <w:shd w:val="clear" w:color="auto" w:fill="FFFFFF"/>
              </w:rPr>
              <w:t> y el ambiente, entendido como la suma de los factores abióticos (como el </w:t>
            </w:r>
            <w:hyperlink r:id="rId10" w:tooltip="Clima" w:history="1">
              <w:r>
                <w:rPr>
                  <w:rStyle w:val="Hipervnculo"/>
                  <w:rFonts w:ascii="Helvetica" w:hAnsi="Helvetica" w:cs="Helvetica"/>
                  <w:color w:val="006699"/>
                  <w:sz w:val="19"/>
                  <w:szCs w:val="19"/>
                  <w:shd w:val="clear" w:color="auto" w:fill="FFFFFF"/>
                </w:rPr>
                <w:t>clima</w:t>
              </w:r>
            </w:hyperlink>
            <w:r>
              <w:rPr>
                <w:rFonts w:ascii="Helvetica" w:hAnsi="Helvetica" w:cs="Helvetica"/>
                <w:color w:val="001133"/>
                <w:sz w:val="19"/>
                <w:szCs w:val="19"/>
                <w:shd w:val="clear" w:color="auto" w:fill="FFFFFF"/>
              </w:rPr>
              <w:t> y la </w:t>
            </w:r>
            <w:hyperlink r:id="rId11" w:tooltip="Geología" w:history="1">
              <w:r>
                <w:rPr>
                  <w:rStyle w:val="Hipervnculo"/>
                  <w:rFonts w:ascii="Helvetica" w:hAnsi="Helvetica" w:cs="Helvetica"/>
                  <w:color w:val="006699"/>
                  <w:sz w:val="19"/>
                  <w:szCs w:val="19"/>
                  <w:shd w:val="clear" w:color="auto" w:fill="FFFFFF"/>
                </w:rPr>
                <w:t>geología</w:t>
              </w:r>
            </w:hyperlink>
            <w:r>
              <w:rPr>
                <w:rFonts w:ascii="Helvetica" w:hAnsi="Helvetica" w:cs="Helvetica"/>
                <w:color w:val="001133"/>
                <w:sz w:val="19"/>
                <w:szCs w:val="19"/>
                <w:shd w:val="clear" w:color="auto" w:fill="FFFFFF"/>
              </w:rPr>
              <w:t>) y los factores bióticos (organismos que comparten el </w:t>
            </w:r>
            <w:hyperlink r:id="rId12" w:tooltip="Hábitat" w:history="1">
              <w:r>
                <w:rPr>
                  <w:rStyle w:val="Hipervnculo"/>
                  <w:rFonts w:ascii="Helvetica" w:hAnsi="Helvetica" w:cs="Helvetica"/>
                  <w:color w:val="006699"/>
                  <w:sz w:val="19"/>
                  <w:szCs w:val="19"/>
                  <w:shd w:val="clear" w:color="auto" w:fill="FFFFFF"/>
                </w:rPr>
                <w:t>hábitat</w:t>
              </w:r>
            </w:hyperlink>
            <w:r>
              <w:rPr>
                <w:rFonts w:ascii="Helvetica" w:hAnsi="Helvetica" w:cs="Helvetica"/>
                <w:color w:val="001133"/>
                <w:sz w:val="19"/>
                <w:szCs w:val="19"/>
                <w:shd w:val="clear" w:color="auto" w:fill="FFFFFF"/>
              </w:rPr>
              <w:t>).</w:t>
            </w:r>
          </w:p>
        </w:tc>
        <w:tc>
          <w:tcPr>
            <w:tcW w:w="2993" w:type="dxa"/>
          </w:tcPr>
          <w:p w:rsidR="00B93005" w:rsidRDefault="00B93005" w:rsidP="00B93005"/>
        </w:tc>
      </w:tr>
      <w:tr w:rsidR="00B93005" w:rsidTr="00B93005">
        <w:tc>
          <w:tcPr>
            <w:tcW w:w="2992" w:type="dxa"/>
          </w:tcPr>
          <w:p w:rsidR="00B93005" w:rsidRDefault="00B93005" w:rsidP="00B93005">
            <w:r>
              <w:t>Capacidad de carga del ecosistema</w:t>
            </w:r>
          </w:p>
        </w:tc>
        <w:tc>
          <w:tcPr>
            <w:tcW w:w="2993" w:type="dxa"/>
          </w:tcPr>
          <w:p w:rsidR="00B93005" w:rsidRDefault="00EC6436" w:rsidP="00B93005">
            <w:r>
              <w:rPr>
                <w:rFonts w:ascii="Verdana" w:hAnsi="Verdana"/>
                <w:color w:val="000000"/>
                <w:sz w:val="19"/>
                <w:szCs w:val="19"/>
                <w:shd w:val="clear" w:color="auto" w:fill="FFFFFF"/>
              </w:rPr>
              <w:t>La </w:t>
            </w:r>
            <w:r>
              <w:rPr>
                <w:rStyle w:val="Textoennegrita"/>
                <w:rFonts w:ascii="Verdana" w:hAnsi="Verdana"/>
                <w:color w:val="000000"/>
                <w:sz w:val="19"/>
                <w:szCs w:val="19"/>
                <w:shd w:val="clear" w:color="auto" w:fill="FFFFFF"/>
              </w:rPr>
              <w:t>capacidad de carga ecológica </w:t>
            </w:r>
            <w:r>
              <w:rPr>
                <w:rFonts w:ascii="Verdana" w:hAnsi="Verdana"/>
                <w:color w:val="000000"/>
                <w:sz w:val="19"/>
                <w:szCs w:val="19"/>
                <w:shd w:val="clear" w:color="auto" w:fill="FFFFFF"/>
              </w:rPr>
              <w:t>o de un ecosistema es el crecimiento límite máximo de una población biológica que puede soportar el ambiente en un período determinado, sin que haya efectos negativos para esa población, ni para el ambiente. Este tamaño umbral máximo de individuos de una población que el ambiente puede soportar, depende de los recursos disponibles como agua, alimentos, espacio, entre otros.</w:t>
            </w:r>
          </w:p>
        </w:tc>
        <w:tc>
          <w:tcPr>
            <w:tcW w:w="2993" w:type="dxa"/>
          </w:tcPr>
          <w:p w:rsidR="00B93005" w:rsidRDefault="00B93005" w:rsidP="00B93005"/>
        </w:tc>
      </w:tr>
      <w:tr w:rsidR="00B93005" w:rsidTr="00B93005">
        <w:tc>
          <w:tcPr>
            <w:tcW w:w="2992" w:type="dxa"/>
          </w:tcPr>
          <w:p w:rsidR="00B93005" w:rsidRDefault="00B93005" w:rsidP="00B93005">
            <w:r>
              <w:t>Desarrollo económico</w:t>
            </w:r>
          </w:p>
        </w:tc>
        <w:tc>
          <w:tcPr>
            <w:tcW w:w="2993" w:type="dxa"/>
          </w:tcPr>
          <w:p w:rsidR="00B93005" w:rsidRDefault="00EC6436" w:rsidP="00EC6436">
            <w:r>
              <w:rPr>
                <w:rFonts w:ascii="Tahoma" w:hAnsi="Tahoma" w:cs="Tahoma"/>
                <w:color w:val="000000"/>
                <w:sz w:val="20"/>
                <w:szCs w:val="20"/>
                <w:shd w:val="clear" w:color="auto" w:fill="FFFFFF"/>
              </w:rPr>
              <w:t>El desarrollo económico se puede definir como</w:t>
            </w:r>
            <w:r>
              <w:rPr>
                <w:rStyle w:val="Textoennegrita"/>
                <w:rFonts w:ascii="Tahoma" w:hAnsi="Tahoma" w:cs="Tahoma"/>
                <w:color w:val="000000"/>
                <w:sz w:val="20"/>
                <w:szCs w:val="20"/>
              </w:rPr>
              <w:t> la capacidad de producir y obtener riqueza</w:t>
            </w:r>
            <w:r>
              <w:rPr>
                <w:rFonts w:ascii="Tahoma" w:hAnsi="Tahoma" w:cs="Tahoma"/>
                <w:color w:val="000000"/>
                <w:sz w:val="20"/>
                <w:szCs w:val="20"/>
                <w:shd w:val="clear" w:color="auto" w:fill="FFFFFF"/>
              </w:rPr>
              <w:t>, además éste puede ser tanto a nivel del desarrollo personal como aplicado también a países o regiones.</w:t>
            </w:r>
            <w:r>
              <w:t xml:space="preserve"> </w:t>
            </w:r>
          </w:p>
        </w:tc>
        <w:tc>
          <w:tcPr>
            <w:tcW w:w="2993" w:type="dxa"/>
          </w:tcPr>
          <w:p w:rsidR="00B93005" w:rsidRDefault="00B93005" w:rsidP="00B93005"/>
        </w:tc>
      </w:tr>
      <w:tr w:rsidR="00B93005" w:rsidTr="00B93005">
        <w:tc>
          <w:tcPr>
            <w:tcW w:w="2992" w:type="dxa"/>
          </w:tcPr>
          <w:p w:rsidR="00B93005" w:rsidRDefault="00B93005" w:rsidP="00B93005">
            <w:r>
              <w:t>Desarrollo sustentable</w:t>
            </w:r>
          </w:p>
        </w:tc>
        <w:tc>
          <w:tcPr>
            <w:tcW w:w="2993" w:type="dxa"/>
          </w:tcPr>
          <w:p w:rsidR="00B93005" w:rsidRDefault="00EC6436" w:rsidP="00B93005">
            <w:proofErr w:type="gramStart"/>
            <w:r>
              <w:rPr>
                <w:rFonts w:ascii="Arial" w:hAnsi="Arial" w:cs="Arial"/>
                <w:color w:val="404040"/>
                <w:sz w:val="20"/>
                <w:szCs w:val="20"/>
                <w:shd w:val="clear" w:color="auto" w:fill="FFFFFF"/>
              </w:rPr>
              <w:t>concepto</w:t>
            </w:r>
            <w:proofErr w:type="gramEnd"/>
            <w:r>
              <w:rPr>
                <w:rFonts w:ascii="Arial" w:hAnsi="Arial" w:cs="Arial"/>
                <w:color w:val="404040"/>
                <w:sz w:val="20"/>
                <w:szCs w:val="20"/>
                <w:shd w:val="clear" w:color="auto" w:fill="FFFFFF"/>
              </w:rPr>
              <w:t xml:space="preserve"> que involucra una serie de </w:t>
            </w:r>
            <w:r>
              <w:rPr>
                <w:rStyle w:val="Textoennegrita"/>
                <w:rFonts w:ascii="Arial" w:hAnsi="Arial" w:cs="Arial"/>
                <w:color w:val="404040"/>
                <w:sz w:val="20"/>
                <w:szCs w:val="20"/>
                <w:bdr w:val="none" w:sz="0" w:space="0" w:color="auto" w:frame="1"/>
                <w:shd w:val="clear" w:color="auto" w:fill="FFFFFF"/>
              </w:rPr>
              <w:t>medidas encaminadas a la administración eficiente y responsable de los recursos naturales</w:t>
            </w:r>
            <w:r>
              <w:rPr>
                <w:rFonts w:ascii="Arial" w:hAnsi="Arial" w:cs="Arial"/>
                <w:color w:val="404040"/>
                <w:sz w:val="20"/>
                <w:szCs w:val="20"/>
                <w:shd w:val="clear" w:color="auto" w:fill="FFFFFF"/>
              </w:rPr>
              <w:t> por parte del ser humano para la preservación del </w:t>
            </w:r>
            <w:r>
              <w:rPr>
                <w:rStyle w:val="Textoennegrita"/>
                <w:rFonts w:ascii="Arial" w:hAnsi="Arial" w:cs="Arial"/>
                <w:color w:val="404040"/>
                <w:sz w:val="20"/>
                <w:szCs w:val="20"/>
                <w:bdr w:val="none" w:sz="0" w:space="0" w:color="auto" w:frame="1"/>
                <w:shd w:val="clear" w:color="auto" w:fill="FFFFFF"/>
              </w:rPr>
              <w:t>equilibrio ecológico</w:t>
            </w:r>
            <w:r>
              <w:rPr>
                <w:rFonts w:ascii="Arial" w:hAnsi="Arial" w:cs="Arial"/>
                <w:color w:val="404040"/>
                <w:sz w:val="20"/>
                <w:szCs w:val="20"/>
                <w:shd w:val="clear" w:color="auto" w:fill="FFFFFF"/>
              </w:rPr>
              <w:t>.</w:t>
            </w:r>
          </w:p>
        </w:tc>
        <w:tc>
          <w:tcPr>
            <w:tcW w:w="2993" w:type="dxa"/>
          </w:tcPr>
          <w:p w:rsidR="00B93005" w:rsidRDefault="00B93005" w:rsidP="00B93005"/>
        </w:tc>
      </w:tr>
      <w:tr w:rsidR="00B93005" w:rsidTr="00B93005">
        <w:tc>
          <w:tcPr>
            <w:tcW w:w="2992" w:type="dxa"/>
          </w:tcPr>
          <w:p w:rsidR="00B93005" w:rsidRDefault="00B93005" w:rsidP="00B93005">
            <w:r>
              <w:t>Educación ambiental</w:t>
            </w:r>
          </w:p>
        </w:tc>
        <w:tc>
          <w:tcPr>
            <w:tcW w:w="2993" w:type="dxa"/>
          </w:tcPr>
          <w:p w:rsidR="00B93005" w:rsidRDefault="00EC6436" w:rsidP="00B93005">
            <w:r>
              <w:rPr>
                <w:rFonts w:ascii="Helvetica" w:hAnsi="Helvetica" w:cs="Helvetica"/>
                <w:color w:val="001133"/>
                <w:sz w:val="19"/>
                <w:szCs w:val="19"/>
                <w:shd w:val="clear" w:color="auto" w:fill="FFFFFF"/>
              </w:rPr>
              <w:t>Es un mecanismo pedagógico para salvaguardar el </w:t>
            </w:r>
            <w:hyperlink r:id="rId13" w:tooltip="Medio ambiente" w:history="1">
              <w:r>
                <w:rPr>
                  <w:rStyle w:val="Hipervnculo"/>
                  <w:rFonts w:ascii="Helvetica" w:hAnsi="Helvetica" w:cs="Helvetica"/>
                  <w:color w:val="006699"/>
                  <w:sz w:val="19"/>
                  <w:szCs w:val="19"/>
                  <w:shd w:val="clear" w:color="auto" w:fill="FFFFFF"/>
                </w:rPr>
                <w:t>Medio ambiente</w:t>
              </w:r>
            </w:hyperlink>
            <w:r>
              <w:rPr>
                <w:rFonts w:ascii="Helvetica" w:hAnsi="Helvetica" w:cs="Helvetica"/>
                <w:color w:val="001133"/>
                <w:sz w:val="19"/>
                <w:szCs w:val="19"/>
                <w:shd w:val="clear" w:color="auto" w:fill="FFFFFF"/>
              </w:rPr>
              <w:t xml:space="preserve">, además de generar una conciencia y soluciones pertinentes a los problemas ambientales actuales causados por actividades </w:t>
            </w:r>
            <w:proofErr w:type="spellStart"/>
            <w:r>
              <w:rPr>
                <w:rFonts w:ascii="Helvetica" w:hAnsi="Helvetica" w:cs="Helvetica"/>
                <w:color w:val="001133"/>
                <w:sz w:val="19"/>
                <w:szCs w:val="19"/>
                <w:shd w:val="clear" w:color="auto" w:fill="FFFFFF"/>
              </w:rPr>
              <w:t>antropogénica</w:t>
            </w:r>
            <w:proofErr w:type="spellEnd"/>
            <w:r>
              <w:rPr>
                <w:rFonts w:ascii="Helvetica" w:hAnsi="Helvetica" w:cs="Helvetica"/>
                <w:color w:val="001133"/>
                <w:sz w:val="19"/>
                <w:szCs w:val="19"/>
                <w:shd w:val="clear" w:color="auto" w:fill="FFFFFF"/>
              </w:rPr>
              <w:t xml:space="preserve"> y los efectos de la relación entre el </w:t>
            </w:r>
            <w:hyperlink r:id="rId14" w:tooltip="Hombre" w:history="1">
              <w:r>
                <w:rPr>
                  <w:rStyle w:val="Hipervnculo"/>
                  <w:rFonts w:ascii="Helvetica" w:hAnsi="Helvetica" w:cs="Helvetica"/>
                  <w:color w:val="006699"/>
                  <w:sz w:val="19"/>
                  <w:szCs w:val="19"/>
                  <w:shd w:val="clear" w:color="auto" w:fill="FFFFFF"/>
                </w:rPr>
                <w:t>hombre</w:t>
              </w:r>
            </w:hyperlink>
            <w:r>
              <w:rPr>
                <w:rFonts w:ascii="Helvetica" w:hAnsi="Helvetica" w:cs="Helvetica"/>
                <w:color w:val="001133"/>
                <w:sz w:val="19"/>
                <w:szCs w:val="19"/>
                <w:shd w:val="clear" w:color="auto" w:fill="FFFFFF"/>
              </w:rPr>
              <w:t> y el entorno, además infunde la interacción que existe dentro de los </w:t>
            </w:r>
            <w:hyperlink r:id="rId15" w:tooltip="Ecosistemas" w:history="1">
              <w:r>
                <w:rPr>
                  <w:rStyle w:val="Hipervnculo"/>
                  <w:rFonts w:ascii="Helvetica" w:hAnsi="Helvetica" w:cs="Helvetica"/>
                  <w:color w:val="006699"/>
                  <w:sz w:val="19"/>
                  <w:szCs w:val="19"/>
                  <w:shd w:val="clear" w:color="auto" w:fill="FFFFFF"/>
                </w:rPr>
                <w:t>Ecosistemas</w:t>
              </w:r>
            </w:hyperlink>
            <w:r>
              <w:rPr>
                <w:rFonts w:ascii="Helvetica" w:hAnsi="Helvetica" w:cs="Helvetica"/>
                <w:color w:val="001133"/>
                <w:sz w:val="19"/>
                <w:szCs w:val="19"/>
                <w:shd w:val="clear" w:color="auto" w:fill="FFFFFF"/>
              </w:rPr>
              <w:t>.</w:t>
            </w:r>
          </w:p>
        </w:tc>
        <w:tc>
          <w:tcPr>
            <w:tcW w:w="2993" w:type="dxa"/>
          </w:tcPr>
          <w:p w:rsidR="00B93005" w:rsidRDefault="00B93005" w:rsidP="00B93005"/>
        </w:tc>
      </w:tr>
      <w:tr w:rsidR="00B93005" w:rsidTr="00B93005">
        <w:tc>
          <w:tcPr>
            <w:tcW w:w="2992" w:type="dxa"/>
          </w:tcPr>
          <w:p w:rsidR="00B93005" w:rsidRDefault="00B93005" w:rsidP="00470BE7">
            <w:r>
              <w:t>Crecimiento económico</w:t>
            </w:r>
          </w:p>
        </w:tc>
        <w:tc>
          <w:tcPr>
            <w:tcW w:w="2993" w:type="dxa"/>
          </w:tcPr>
          <w:p w:rsidR="00B93005" w:rsidRDefault="00EC6436" w:rsidP="00EC6436">
            <w:proofErr w:type="gramStart"/>
            <w:r>
              <w:rPr>
                <w:rFonts w:ascii="Georgia" w:hAnsi="Georgia"/>
                <w:color w:val="445555"/>
                <w:sz w:val="18"/>
                <w:szCs w:val="18"/>
                <w:shd w:val="clear" w:color="auto" w:fill="FFFFFF"/>
              </w:rPr>
              <w:t>es</w:t>
            </w:r>
            <w:proofErr w:type="gramEnd"/>
            <w:r>
              <w:rPr>
                <w:rFonts w:ascii="Georgia" w:hAnsi="Georgia"/>
                <w:color w:val="445555"/>
                <w:sz w:val="18"/>
                <w:szCs w:val="18"/>
                <w:shd w:val="clear" w:color="auto" w:fill="FFFFFF"/>
              </w:rPr>
              <w:t xml:space="preserve"> una de las metas de toda </w:t>
            </w:r>
            <w:hyperlink r:id="rId16" w:history="1">
              <w:r>
                <w:rPr>
                  <w:rStyle w:val="Hipervnculo"/>
                  <w:rFonts w:ascii="Georgia" w:hAnsi="Georgia"/>
                  <w:color w:val="008040"/>
                  <w:sz w:val="18"/>
                  <w:szCs w:val="18"/>
                </w:rPr>
                <w:t>sociedad</w:t>
              </w:r>
            </w:hyperlink>
            <w:r>
              <w:rPr>
                <w:rFonts w:ascii="Georgia" w:hAnsi="Georgia"/>
                <w:color w:val="445555"/>
                <w:sz w:val="18"/>
                <w:szCs w:val="18"/>
                <w:shd w:val="clear" w:color="auto" w:fill="FFFFFF"/>
              </w:rPr>
              <w:t> y el mismo implica un incremento notable de los </w:t>
            </w:r>
            <w:hyperlink r:id="rId17" w:history="1">
              <w:r>
                <w:rPr>
                  <w:rStyle w:val="Hipervnculo"/>
                  <w:rFonts w:ascii="Georgia" w:hAnsi="Georgia"/>
                  <w:color w:val="008040"/>
                  <w:sz w:val="18"/>
                  <w:szCs w:val="18"/>
                </w:rPr>
                <w:t>ingresos</w:t>
              </w:r>
            </w:hyperlink>
            <w:r>
              <w:rPr>
                <w:rFonts w:ascii="Georgia" w:hAnsi="Georgia"/>
                <w:color w:val="445555"/>
                <w:sz w:val="18"/>
                <w:szCs w:val="18"/>
                <w:shd w:val="clear" w:color="auto" w:fill="FFFFFF"/>
              </w:rPr>
              <w:t xml:space="preserve">, y de la forma de vida </w:t>
            </w:r>
            <w:r>
              <w:rPr>
                <w:rFonts w:ascii="Georgia" w:hAnsi="Georgia"/>
                <w:color w:val="445555"/>
                <w:sz w:val="18"/>
                <w:szCs w:val="18"/>
                <w:shd w:val="clear" w:color="auto" w:fill="FFFFFF"/>
              </w:rPr>
              <w:lastRenderedPageBreak/>
              <w:t>de todos los individuos de una sociedad.</w:t>
            </w:r>
          </w:p>
        </w:tc>
        <w:tc>
          <w:tcPr>
            <w:tcW w:w="2993" w:type="dxa"/>
          </w:tcPr>
          <w:p w:rsidR="00B93005" w:rsidRDefault="00B93005" w:rsidP="00B93005"/>
        </w:tc>
      </w:tr>
      <w:tr w:rsidR="00B93005" w:rsidTr="00B93005">
        <w:tc>
          <w:tcPr>
            <w:tcW w:w="2992" w:type="dxa"/>
          </w:tcPr>
          <w:p w:rsidR="00B93005" w:rsidRDefault="00B93005" w:rsidP="00B93005">
            <w:r>
              <w:lastRenderedPageBreak/>
              <w:t>Producto Interno Bruto</w:t>
            </w:r>
          </w:p>
        </w:tc>
        <w:tc>
          <w:tcPr>
            <w:tcW w:w="2993" w:type="dxa"/>
          </w:tcPr>
          <w:p w:rsidR="00B93005" w:rsidRDefault="00EC6436" w:rsidP="00B93005">
            <w:r>
              <w:rPr>
                <w:rStyle w:val="Textoennegrita"/>
                <w:rFonts w:ascii="Arial" w:hAnsi="Arial" w:cs="Arial"/>
                <w:color w:val="666666"/>
                <w:sz w:val="15"/>
                <w:szCs w:val="15"/>
                <w:shd w:val="clear" w:color="auto" w:fill="FFFFFF"/>
              </w:rPr>
              <w:t>El PIB es el valor total de los bienes y servicios finales producidos por un país, durante un tiempo definido</w:t>
            </w:r>
            <w:r>
              <w:rPr>
                <w:rFonts w:ascii="Arial" w:hAnsi="Arial" w:cs="Arial"/>
                <w:color w:val="666666"/>
                <w:sz w:val="15"/>
                <w:szCs w:val="15"/>
                <w:shd w:val="clear" w:color="auto" w:fill="FFFFFF"/>
              </w:rPr>
              <w:t>. Cuando hablamos de bienes finales, nos referimos a aquellos bienes y servicios que el consumidor final compra.</w:t>
            </w:r>
          </w:p>
        </w:tc>
        <w:tc>
          <w:tcPr>
            <w:tcW w:w="2993" w:type="dxa"/>
          </w:tcPr>
          <w:p w:rsidR="00B93005" w:rsidRDefault="00B93005" w:rsidP="00B93005"/>
        </w:tc>
      </w:tr>
    </w:tbl>
    <w:p w:rsidR="00B93005" w:rsidRDefault="00B93005" w:rsidP="00B93005"/>
    <w:p w:rsidR="00B93005" w:rsidRDefault="00B93005" w:rsidP="00B93005">
      <w:proofErr w:type="gramStart"/>
      <w:r>
        <w:t>un</w:t>
      </w:r>
      <w:proofErr w:type="gramEnd"/>
      <w:r>
        <w:t xml:space="preserve"> mínimo de 15 eventos relacionados con el Desarrollo Sustentable que acontecieron antes y después de la publicación del Informe </w:t>
      </w:r>
      <w:proofErr w:type="spellStart"/>
      <w:r>
        <w:t>Informe</w:t>
      </w:r>
      <w:proofErr w:type="spellEnd"/>
      <w:r>
        <w:t xml:space="preserve"> </w:t>
      </w:r>
      <w:proofErr w:type="spellStart"/>
      <w:r>
        <w:t>Brundtland</w:t>
      </w:r>
      <w:proofErr w:type="spellEnd"/>
      <w:r>
        <w:t xml:space="preserve"> (1987) y describe su relevancia.</w:t>
      </w:r>
    </w:p>
    <w:tbl>
      <w:tblPr>
        <w:tblStyle w:val="Tablaconcuadrcula"/>
        <w:tblW w:w="0" w:type="auto"/>
        <w:tblLook w:val="04A0"/>
      </w:tblPr>
      <w:tblGrid>
        <w:gridCol w:w="2244"/>
        <w:gridCol w:w="2244"/>
        <w:gridCol w:w="2245"/>
        <w:gridCol w:w="2245"/>
      </w:tblGrid>
      <w:tr w:rsidR="00B93005" w:rsidTr="00B93005">
        <w:tc>
          <w:tcPr>
            <w:tcW w:w="2244" w:type="dxa"/>
          </w:tcPr>
          <w:p w:rsidR="00B93005" w:rsidRDefault="00B93005" w:rsidP="00B93005">
            <w:r>
              <w:t>Fecha y lugar del Evento o Suceso</w:t>
            </w:r>
          </w:p>
        </w:tc>
        <w:tc>
          <w:tcPr>
            <w:tcW w:w="2244" w:type="dxa"/>
          </w:tcPr>
          <w:p w:rsidR="00B93005" w:rsidRDefault="00B93005" w:rsidP="00B93005">
            <w:pPr>
              <w:jc w:val="center"/>
            </w:pPr>
            <w:r>
              <w:t xml:space="preserve">Nombre del Evento ANTES del Informe </w:t>
            </w:r>
            <w:proofErr w:type="spellStart"/>
            <w:r>
              <w:t>Brundtland</w:t>
            </w:r>
            <w:proofErr w:type="spellEnd"/>
          </w:p>
        </w:tc>
        <w:tc>
          <w:tcPr>
            <w:tcW w:w="2245" w:type="dxa"/>
          </w:tcPr>
          <w:p w:rsidR="00B93005" w:rsidRDefault="00B93005" w:rsidP="00B93005">
            <w:r>
              <w:t xml:space="preserve">Nombre del Evento DESPUÉS del Informe </w:t>
            </w:r>
            <w:proofErr w:type="spellStart"/>
            <w:r>
              <w:t>Brundtland</w:t>
            </w:r>
            <w:proofErr w:type="spellEnd"/>
          </w:p>
        </w:tc>
        <w:tc>
          <w:tcPr>
            <w:tcW w:w="2245" w:type="dxa"/>
          </w:tcPr>
          <w:p w:rsidR="00B93005" w:rsidRDefault="00B93005" w:rsidP="00B93005">
            <w:r>
              <w:t>Relevancia del Evento para el Desarrollo Sustentable</w:t>
            </w:r>
          </w:p>
        </w:tc>
      </w:tr>
      <w:tr w:rsidR="00B93005" w:rsidTr="00B93005">
        <w:tc>
          <w:tcPr>
            <w:tcW w:w="2244" w:type="dxa"/>
          </w:tcPr>
          <w:p w:rsidR="00B93005" w:rsidRDefault="00A0438F" w:rsidP="00B93005">
            <w:r>
              <w:t>Río de Janeiro, Brasil del 3 al 14 de Junio de 1992</w:t>
            </w:r>
          </w:p>
        </w:tc>
        <w:tc>
          <w:tcPr>
            <w:tcW w:w="2244" w:type="dxa"/>
          </w:tcPr>
          <w:p w:rsidR="00B93005" w:rsidRDefault="00B93005" w:rsidP="00B93005"/>
        </w:tc>
        <w:tc>
          <w:tcPr>
            <w:tcW w:w="2245" w:type="dxa"/>
          </w:tcPr>
          <w:p w:rsidR="00B93005" w:rsidRDefault="00A0438F" w:rsidP="00B93005">
            <w:r>
              <w:t>Cumbre de Río</w:t>
            </w:r>
          </w:p>
        </w:tc>
        <w:tc>
          <w:tcPr>
            <w:tcW w:w="2245" w:type="dxa"/>
          </w:tcPr>
          <w:p w:rsidR="00B93005" w:rsidRDefault="00A0438F" w:rsidP="00B93005">
            <w:proofErr w:type="gramStart"/>
            <w:r>
              <w:t>las</w:t>
            </w:r>
            <w:proofErr w:type="gramEnd"/>
            <w:r>
              <w:t xml:space="preserve"> necesidades sociales, medioambientales y económicas deben equilibrarse unas con otras para obtener resultados sostenibles a largo plazo.</w:t>
            </w:r>
          </w:p>
          <w:p w:rsidR="00A0438F" w:rsidRDefault="00A0438F" w:rsidP="00B93005">
            <w:r>
              <w:t>El objetivo principal de la Cumbre fue introducir un programa extenso y un plan nuevo para la acción internacional en temas de medio ambiente y de desarrollo que ayudarían a guiar la cooperación internacional y el desarrollo de programas en el próximo siglo.</w:t>
            </w:r>
          </w:p>
        </w:tc>
      </w:tr>
      <w:tr w:rsidR="00A0438F" w:rsidTr="00B93005">
        <w:tc>
          <w:tcPr>
            <w:tcW w:w="2244" w:type="dxa"/>
          </w:tcPr>
          <w:p w:rsidR="00A0438F" w:rsidRDefault="00A7729D" w:rsidP="00B93005">
            <w:r>
              <w:t>Cumbre Mundial sobre el Desarrollo Sostenible en Johannesburgo (Sudáfrica)</w:t>
            </w:r>
            <w:proofErr w:type="gramStart"/>
            <w:r>
              <w:t>,celebrada</w:t>
            </w:r>
            <w:proofErr w:type="gramEnd"/>
            <w:r>
              <w:t xml:space="preserve"> del 26 de agosto al 4 de septiembre de 2002.</w:t>
            </w:r>
          </w:p>
        </w:tc>
        <w:tc>
          <w:tcPr>
            <w:tcW w:w="2244" w:type="dxa"/>
          </w:tcPr>
          <w:p w:rsidR="00A0438F" w:rsidRDefault="00A7729D" w:rsidP="00B93005">
            <w:r>
              <w:t>Río+10</w:t>
            </w:r>
          </w:p>
        </w:tc>
        <w:tc>
          <w:tcPr>
            <w:tcW w:w="2245" w:type="dxa"/>
          </w:tcPr>
          <w:p w:rsidR="00A0438F" w:rsidRDefault="00A7729D" w:rsidP="00B93005">
            <w:r>
              <w:t>Cumbre de Johannesburgo</w:t>
            </w:r>
          </w:p>
        </w:tc>
        <w:tc>
          <w:tcPr>
            <w:tcW w:w="2245" w:type="dxa"/>
          </w:tcPr>
          <w:p w:rsidR="00A0438F" w:rsidRDefault="00100B76" w:rsidP="00B93005">
            <w:r>
              <w:t xml:space="preserve">El tema principal de la Cumbre fue cómo se debía transformar al mundo para asegurar el desarrollo sostenible. Este propósito, implica abordar una gran variedad de cuestiones relevantes como la erradicación </w:t>
            </w:r>
            <w:r>
              <w:lastRenderedPageBreak/>
              <w:t>de la pobreza, el desarrollo social y económico, la protección del medio, la desertificación, el agua, la energía, la salud, la agricultura, la biodiversidad, el empleo, la educación, los océanos, los bosques, las tierras áridas, los pantanos, el calentamiento mundial y la atmósfera, entre muchos otros.</w:t>
            </w:r>
          </w:p>
        </w:tc>
      </w:tr>
      <w:tr w:rsidR="00A0438F" w:rsidTr="00B93005">
        <w:tc>
          <w:tcPr>
            <w:tcW w:w="2244" w:type="dxa"/>
          </w:tcPr>
          <w:p w:rsidR="00A0438F" w:rsidRDefault="00100B76" w:rsidP="00B93005">
            <w:r>
              <w:lastRenderedPageBreak/>
              <w:t>Se celebró del 14 al 25 de junio de 1993 en Viena, Austria</w:t>
            </w:r>
          </w:p>
        </w:tc>
        <w:tc>
          <w:tcPr>
            <w:tcW w:w="2244" w:type="dxa"/>
          </w:tcPr>
          <w:p w:rsidR="00A0438F" w:rsidRDefault="00A0438F" w:rsidP="00B93005"/>
        </w:tc>
        <w:tc>
          <w:tcPr>
            <w:tcW w:w="2245" w:type="dxa"/>
          </w:tcPr>
          <w:p w:rsidR="00A0438F" w:rsidRDefault="00100B76" w:rsidP="00B93005">
            <w:r>
              <w:t>Conferencia Mundial de los Derechos Humanos</w:t>
            </w:r>
          </w:p>
        </w:tc>
        <w:tc>
          <w:tcPr>
            <w:tcW w:w="2245" w:type="dxa"/>
          </w:tcPr>
          <w:p w:rsidR="00A0438F" w:rsidRDefault="00A0438F" w:rsidP="00B93005"/>
        </w:tc>
      </w:tr>
      <w:tr w:rsidR="00A0438F" w:rsidTr="00B93005">
        <w:tc>
          <w:tcPr>
            <w:tcW w:w="2244" w:type="dxa"/>
          </w:tcPr>
          <w:p w:rsidR="00A0438F" w:rsidRDefault="00100B76" w:rsidP="00B93005">
            <w:r>
              <w:t>se celebró en El Cairo (Egipto) del 5 al 13 de septiembre de 1994</w:t>
            </w:r>
          </w:p>
        </w:tc>
        <w:tc>
          <w:tcPr>
            <w:tcW w:w="2244" w:type="dxa"/>
          </w:tcPr>
          <w:p w:rsidR="00A0438F" w:rsidRDefault="00A0438F" w:rsidP="00B93005"/>
        </w:tc>
        <w:tc>
          <w:tcPr>
            <w:tcW w:w="2245" w:type="dxa"/>
          </w:tcPr>
          <w:p w:rsidR="00A0438F" w:rsidRDefault="00100B76" w:rsidP="00B93005">
            <w:r>
              <w:t>Conferencia Internacional sobre la Población y el Desarrollo</w:t>
            </w:r>
          </w:p>
        </w:tc>
        <w:tc>
          <w:tcPr>
            <w:tcW w:w="2245" w:type="dxa"/>
          </w:tcPr>
          <w:p w:rsidR="00A0438F" w:rsidRPr="00100B76" w:rsidRDefault="00100B76" w:rsidP="00100B76">
            <w:pPr>
              <w:jc w:val="center"/>
            </w:pPr>
            <w:r>
              <w:t xml:space="preserve">En dicho Programa se definieron una serie de objetivos de población y desarrollo: el crecimiento económico sostenido en el marco del desarrollo sostenible; la educación; la igualdad entre los sexos; la reducción de la mortalidad neonatal, infantil y materna: y el acceso universal a servicios de salud reproductiva. </w:t>
            </w:r>
          </w:p>
        </w:tc>
      </w:tr>
    </w:tbl>
    <w:p w:rsidR="00100B76" w:rsidRDefault="00100B76">
      <w:r>
        <w:br w:type="page"/>
      </w:r>
    </w:p>
    <w:tbl>
      <w:tblPr>
        <w:tblStyle w:val="Tablaconcuadrcula"/>
        <w:tblW w:w="0" w:type="auto"/>
        <w:tblLook w:val="04A0"/>
      </w:tblPr>
      <w:tblGrid>
        <w:gridCol w:w="2244"/>
        <w:gridCol w:w="2244"/>
        <w:gridCol w:w="2245"/>
        <w:gridCol w:w="2245"/>
      </w:tblGrid>
      <w:tr w:rsidR="00A0438F" w:rsidTr="00B93005">
        <w:tc>
          <w:tcPr>
            <w:tcW w:w="2244" w:type="dxa"/>
          </w:tcPr>
          <w:p w:rsidR="00A0438F" w:rsidRDefault="00100B76" w:rsidP="00B93005">
            <w:r>
              <w:lastRenderedPageBreak/>
              <w:t>celebrada en Marzo de 1995 en Copenhague</w:t>
            </w:r>
          </w:p>
        </w:tc>
        <w:tc>
          <w:tcPr>
            <w:tcW w:w="2244" w:type="dxa"/>
          </w:tcPr>
          <w:p w:rsidR="00A0438F" w:rsidRDefault="00A0438F" w:rsidP="00B93005"/>
        </w:tc>
        <w:tc>
          <w:tcPr>
            <w:tcW w:w="2245" w:type="dxa"/>
          </w:tcPr>
          <w:p w:rsidR="00A0438F" w:rsidRDefault="00100B76" w:rsidP="00B93005">
            <w:r>
              <w:t>Cumbre de Copenhague sobre desarrollo social</w:t>
            </w:r>
          </w:p>
        </w:tc>
        <w:tc>
          <w:tcPr>
            <w:tcW w:w="2245" w:type="dxa"/>
          </w:tcPr>
          <w:p w:rsidR="00A0438F" w:rsidRDefault="00100B76" w:rsidP="00B93005">
            <w:r>
              <w:t>Asegurar la equidad entre las generaciones y protegiendo la integridad del medio ambiente y la posibilidad de utilizarlo en forma sostenible.</w:t>
            </w:r>
          </w:p>
          <w:p w:rsidR="00100B76" w:rsidRDefault="00100B76" w:rsidP="00B93005">
            <w:r>
              <w:t xml:space="preserve">Reconocer que las políticas económicas sólidas y de base amplia </w:t>
            </w:r>
            <w:proofErr w:type="gramStart"/>
            <w:r>
              <w:t>constituyen</w:t>
            </w:r>
            <w:proofErr w:type="gramEnd"/>
            <w:r>
              <w:t xml:space="preserve"> una base necesaria para lograr el desarrollo social sostenido.</w:t>
            </w:r>
          </w:p>
        </w:tc>
      </w:tr>
      <w:tr w:rsidR="00A0438F" w:rsidTr="00B93005">
        <w:tc>
          <w:tcPr>
            <w:tcW w:w="2244" w:type="dxa"/>
          </w:tcPr>
          <w:p w:rsidR="00A0438F" w:rsidRDefault="00100B76" w:rsidP="00B93005">
            <w:r>
              <w:t>celebrada en Estambul (Turquía) del 3 al 14 de junio de 1996</w:t>
            </w:r>
          </w:p>
        </w:tc>
        <w:tc>
          <w:tcPr>
            <w:tcW w:w="2244" w:type="dxa"/>
          </w:tcPr>
          <w:p w:rsidR="00A0438F" w:rsidRDefault="00100B76" w:rsidP="00B93005">
            <w:r>
              <w:t>Cumbre de la Ciudad</w:t>
            </w:r>
          </w:p>
        </w:tc>
        <w:tc>
          <w:tcPr>
            <w:tcW w:w="2245" w:type="dxa"/>
          </w:tcPr>
          <w:p w:rsidR="00A0438F" w:rsidRDefault="00100B76" w:rsidP="00B93005">
            <w:r>
              <w:t xml:space="preserve">Conferencias sobre Asentamientos Humanos. </w:t>
            </w:r>
            <w:proofErr w:type="spellStart"/>
            <w:r>
              <w:t>Habitat</w:t>
            </w:r>
            <w:proofErr w:type="spellEnd"/>
            <w:r>
              <w:t xml:space="preserve"> II</w:t>
            </w:r>
          </w:p>
        </w:tc>
        <w:tc>
          <w:tcPr>
            <w:tcW w:w="2245" w:type="dxa"/>
          </w:tcPr>
          <w:p w:rsidR="00A0438F" w:rsidRDefault="00100B76" w:rsidP="00B93005">
            <w:r>
              <w:t>Para mejorar la calidad de vida en los asentamientos humanos se deben encarar las modalidades de producción y consumo insostenibles, los cambios demográficos insostenibles, incluidas la estructura y la distribución de la población, prestando atención prioritaria a la tendencia a una concentración excesiva de la población</w:t>
            </w:r>
          </w:p>
        </w:tc>
      </w:tr>
      <w:tr w:rsidR="00A0438F" w:rsidTr="00B93005">
        <w:tc>
          <w:tcPr>
            <w:tcW w:w="2244" w:type="dxa"/>
          </w:tcPr>
          <w:p w:rsidR="00A0438F" w:rsidRDefault="00100B76" w:rsidP="00B93005">
            <w:r>
              <w:t>se celebró en la sede de las Naciones Unidas en Nueva York en Junio de 2001</w:t>
            </w:r>
          </w:p>
        </w:tc>
        <w:tc>
          <w:tcPr>
            <w:tcW w:w="2244" w:type="dxa"/>
          </w:tcPr>
          <w:p w:rsidR="00A0438F" w:rsidRDefault="00A0438F" w:rsidP="00B93005"/>
        </w:tc>
        <w:tc>
          <w:tcPr>
            <w:tcW w:w="2245" w:type="dxa"/>
          </w:tcPr>
          <w:p w:rsidR="00A0438F" w:rsidRDefault="00100B76" w:rsidP="00B93005">
            <w:r>
              <w:t>Conferencia de Estambul+5</w:t>
            </w:r>
          </w:p>
        </w:tc>
        <w:tc>
          <w:tcPr>
            <w:tcW w:w="2245" w:type="dxa"/>
          </w:tcPr>
          <w:p w:rsidR="00A0438F" w:rsidRDefault="00100B76" w:rsidP="00B93005">
            <w:r>
              <w:t>En esta Conferencia se instó a los gobiernos y a las instituciones financieras nacionales a fortalecer los marcos institucionales por los que sería posible hacer llegar el microcrédito, sin garantías ni fianza, a los que viven en la pobreza, particularmente a las mujeres.</w:t>
            </w:r>
          </w:p>
        </w:tc>
      </w:tr>
      <w:tr w:rsidR="00100B76" w:rsidTr="00B93005">
        <w:tc>
          <w:tcPr>
            <w:tcW w:w="2244" w:type="dxa"/>
          </w:tcPr>
          <w:p w:rsidR="00100B76" w:rsidRDefault="005A26D6" w:rsidP="00B93005">
            <w:r>
              <w:lastRenderedPageBreak/>
              <w:t>tuvo lugar en Doha, Qatar, del 9 al 14 de Noviembre de 2001</w:t>
            </w:r>
          </w:p>
        </w:tc>
        <w:tc>
          <w:tcPr>
            <w:tcW w:w="2244" w:type="dxa"/>
          </w:tcPr>
          <w:p w:rsidR="00100B76" w:rsidRDefault="00100B76" w:rsidP="00B93005"/>
        </w:tc>
        <w:tc>
          <w:tcPr>
            <w:tcW w:w="2245" w:type="dxa"/>
          </w:tcPr>
          <w:p w:rsidR="00100B76" w:rsidRDefault="00100B76" w:rsidP="00B93005">
            <w:r>
              <w:t>Conferencia Ministerial de Doha- OMC</w:t>
            </w:r>
          </w:p>
        </w:tc>
        <w:tc>
          <w:tcPr>
            <w:tcW w:w="2245" w:type="dxa"/>
          </w:tcPr>
          <w:p w:rsidR="005A26D6" w:rsidRDefault="005A26D6" w:rsidP="00B93005">
            <w:proofErr w:type="gramStart"/>
            <w:r>
              <w:t>promover</w:t>
            </w:r>
            <w:proofErr w:type="gramEnd"/>
            <w:r>
              <w:t xml:space="preserve"> la expansión del comercio y el desarrollo económico de los beneficiarios de manera compatible con los objetivos de la OMC y con las necesidades comerciales, financieras y de desarrollo de estos beneficiarios. El Acuerdo establece un período preparatorio que se extiende hasta el 31 de Diciembre de 2007.</w:t>
            </w:r>
          </w:p>
          <w:p w:rsidR="00100B76" w:rsidRPr="005A26D6" w:rsidRDefault="00100B76" w:rsidP="005A26D6">
            <w:pPr>
              <w:jc w:val="center"/>
            </w:pPr>
          </w:p>
        </w:tc>
      </w:tr>
      <w:tr w:rsidR="00100B76" w:rsidTr="00B93005">
        <w:tc>
          <w:tcPr>
            <w:tcW w:w="2244" w:type="dxa"/>
          </w:tcPr>
          <w:p w:rsidR="00100B76" w:rsidRDefault="005A26D6" w:rsidP="00B93005">
            <w:r>
              <w:t>tuvo lugar en 25 y 26 de Abril de 2001</w:t>
            </w:r>
          </w:p>
        </w:tc>
        <w:tc>
          <w:tcPr>
            <w:tcW w:w="2244" w:type="dxa"/>
          </w:tcPr>
          <w:p w:rsidR="00100B76" w:rsidRDefault="00100B76" w:rsidP="00B93005"/>
        </w:tc>
        <w:tc>
          <w:tcPr>
            <w:tcW w:w="2245" w:type="dxa"/>
          </w:tcPr>
          <w:p w:rsidR="00100B76" w:rsidRDefault="005A26D6" w:rsidP="00B93005">
            <w:r>
              <w:t>Reunión extraordinaria del Comité de Asistencia al Desarrollo de la OCDE (2001)</w:t>
            </w:r>
          </w:p>
        </w:tc>
        <w:tc>
          <w:tcPr>
            <w:tcW w:w="2245" w:type="dxa"/>
          </w:tcPr>
          <w:p w:rsidR="00100B76" w:rsidRDefault="005A26D6" w:rsidP="00B93005">
            <w:proofErr w:type="gramStart"/>
            <w:r>
              <w:t>su</w:t>
            </w:r>
            <w:proofErr w:type="gramEnd"/>
            <w:r>
              <w:t xml:space="preserve"> objetivo fue crear las líneas de acción para la formulación e implementación de las Estrategias para el Desarrollo Sostenible a las que los países miembros deberán estar acogidos en 2005, tal como se indicó en la Declaración del Milenio de Naciones Unidas.</w:t>
            </w:r>
          </w:p>
        </w:tc>
      </w:tr>
      <w:tr w:rsidR="00100B76" w:rsidTr="00B93005">
        <w:tc>
          <w:tcPr>
            <w:tcW w:w="2244" w:type="dxa"/>
          </w:tcPr>
          <w:p w:rsidR="00100B76" w:rsidRDefault="005A26D6" w:rsidP="00B93005">
            <w:r>
              <w:t>se celebró en Abril de 2002 en las oficinas de la OCDE en París</w:t>
            </w:r>
          </w:p>
        </w:tc>
        <w:tc>
          <w:tcPr>
            <w:tcW w:w="2244" w:type="dxa"/>
          </w:tcPr>
          <w:p w:rsidR="00100B76" w:rsidRDefault="00100B76" w:rsidP="00B93005"/>
        </w:tc>
        <w:tc>
          <w:tcPr>
            <w:tcW w:w="2245" w:type="dxa"/>
          </w:tcPr>
          <w:p w:rsidR="00100B76" w:rsidRDefault="005A26D6" w:rsidP="00B93005">
            <w:r>
              <w:t>OCDE Foro Global en Desarrollo Sostenible: “Conferencia sobre la Financiación de la Dimensión Medioambiental del Desarrollo Sostenible”</w:t>
            </w:r>
          </w:p>
        </w:tc>
        <w:tc>
          <w:tcPr>
            <w:tcW w:w="2245" w:type="dxa"/>
          </w:tcPr>
          <w:p w:rsidR="00100B76" w:rsidRDefault="005A26D6" w:rsidP="00B93005">
            <w:proofErr w:type="gramStart"/>
            <w:r>
              <w:t>buscan</w:t>
            </w:r>
            <w:proofErr w:type="gramEnd"/>
            <w:r>
              <w:t xml:space="preserve"> respuestas a problemas comunes y trabajan para mejorar la coordinación de las políticas a nivel interno e internacional. El trabajo de la Organización cubre las políticas económica, social, medioambiental y agrícola, así como la cooperación en el desarrollo comercial, </w:t>
            </w:r>
            <w:r>
              <w:lastRenderedPageBreak/>
              <w:t>fiscal, gestión pública, científica y otras políticas sectoriales.</w:t>
            </w:r>
          </w:p>
        </w:tc>
      </w:tr>
      <w:tr w:rsidR="00100B76" w:rsidTr="00B93005">
        <w:tc>
          <w:tcPr>
            <w:tcW w:w="2244" w:type="dxa"/>
          </w:tcPr>
          <w:p w:rsidR="00100B76" w:rsidRDefault="005A26D6" w:rsidP="00B93005">
            <w:r>
              <w:lastRenderedPageBreak/>
              <w:t>convocada el 29 de marzo de 1996 en el Consejo Europeo de Turín</w:t>
            </w:r>
          </w:p>
        </w:tc>
        <w:tc>
          <w:tcPr>
            <w:tcW w:w="2244" w:type="dxa"/>
          </w:tcPr>
          <w:p w:rsidR="00100B76" w:rsidRDefault="005A26D6" w:rsidP="00B93005">
            <w:r>
              <w:t>Conferencia Intergubernamental</w:t>
            </w:r>
          </w:p>
        </w:tc>
        <w:tc>
          <w:tcPr>
            <w:tcW w:w="2245" w:type="dxa"/>
          </w:tcPr>
          <w:p w:rsidR="00100B76" w:rsidRDefault="005A26D6" w:rsidP="00B93005">
            <w:r>
              <w:t>Tratado de Ámsterdam</w:t>
            </w:r>
          </w:p>
        </w:tc>
        <w:tc>
          <w:tcPr>
            <w:tcW w:w="2245" w:type="dxa"/>
          </w:tcPr>
          <w:p w:rsidR="00100B76" w:rsidRDefault="005A26D6" w:rsidP="00B93005">
            <w:r>
              <w:t>compromiso de que el desarrollo futuro de la Unión Europea debe basarse en</w:t>
            </w:r>
          </w:p>
        </w:tc>
      </w:tr>
      <w:tr w:rsidR="005A26D6" w:rsidTr="00B93005">
        <w:tc>
          <w:tcPr>
            <w:tcW w:w="2244" w:type="dxa"/>
          </w:tcPr>
          <w:p w:rsidR="005A26D6" w:rsidRDefault="005A26D6" w:rsidP="00B93005"/>
        </w:tc>
        <w:tc>
          <w:tcPr>
            <w:tcW w:w="2244" w:type="dxa"/>
          </w:tcPr>
          <w:p w:rsidR="005A26D6" w:rsidRDefault="005A26D6" w:rsidP="00B93005"/>
        </w:tc>
        <w:tc>
          <w:tcPr>
            <w:tcW w:w="2245" w:type="dxa"/>
          </w:tcPr>
          <w:p w:rsidR="005A26D6" w:rsidRDefault="005A26D6" w:rsidP="00B93005"/>
        </w:tc>
        <w:tc>
          <w:tcPr>
            <w:tcW w:w="2245" w:type="dxa"/>
          </w:tcPr>
          <w:p w:rsidR="005A26D6" w:rsidRDefault="005A26D6" w:rsidP="00B93005"/>
        </w:tc>
      </w:tr>
      <w:tr w:rsidR="00100B76" w:rsidTr="00B93005">
        <w:tc>
          <w:tcPr>
            <w:tcW w:w="2244" w:type="dxa"/>
          </w:tcPr>
          <w:p w:rsidR="00100B76" w:rsidRDefault="005A26D6" w:rsidP="00B93005">
            <w:r>
              <w:t>celebrado el 15 y 16 de Junio de 1998</w:t>
            </w:r>
          </w:p>
        </w:tc>
        <w:tc>
          <w:tcPr>
            <w:tcW w:w="2244" w:type="dxa"/>
          </w:tcPr>
          <w:p w:rsidR="00100B76" w:rsidRDefault="00100B76" w:rsidP="00B93005"/>
        </w:tc>
        <w:tc>
          <w:tcPr>
            <w:tcW w:w="2245" w:type="dxa"/>
          </w:tcPr>
          <w:p w:rsidR="00100B76" w:rsidRDefault="005A26D6" w:rsidP="00B93005">
            <w:r>
              <w:t>Consejo Europeo de Cardiff</w:t>
            </w:r>
          </w:p>
        </w:tc>
        <w:tc>
          <w:tcPr>
            <w:tcW w:w="2245" w:type="dxa"/>
          </w:tcPr>
          <w:p w:rsidR="00100B76" w:rsidRDefault="005A26D6" w:rsidP="00B93005">
            <w:proofErr w:type="gramStart"/>
            <w:r>
              <w:t>integración</w:t>
            </w:r>
            <w:proofErr w:type="gramEnd"/>
            <w:r>
              <w:t xml:space="preserve"> del medio ambiente en las políticas sectoriales era la asignatura pendiente para el nuevo siglo, estableciéndose también, elementos fundamentales de la estrategia de la Unión Europea para una ulterior reforma económica destinada a fomentar el crecimiento, la prosperidad, el empleo y la integración social.</w:t>
            </w:r>
          </w:p>
        </w:tc>
      </w:tr>
      <w:tr w:rsidR="00100B76" w:rsidTr="00B93005">
        <w:tc>
          <w:tcPr>
            <w:tcW w:w="2244" w:type="dxa"/>
          </w:tcPr>
          <w:p w:rsidR="00100B76" w:rsidRDefault="005A26D6" w:rsidP="00B93005">
            <w:r>
              <w:t>aprobada en junio de 2001 y que fue presentada en la Cumbre de Johannesburgo</w:t>
            </w:r>
          </w:p>
        </w:tc>
        <w:tc>
          <w:tcPr>
            <w:tcW w:w="2244" w:type="dxa"/>
          </w:tcPr>
          <w:p w:rsidR="00100B76" w:rsidRDefault="00100B76" w:rsidP="00B93005"/>
        </w:tc>
        <w:tc>
          <w:tcPr>
            <w:tcW w:w="2245" w:type="dxa"/>
          </w:tcPr>
          <w:p w:rsidR="00100B76" w:rsidRDefault="005A26D6" w:rsidP="00B93005">
            <w:r>
              <w:t>Sexto Programa de Acción Comunitario sobre Medio Ambiente</w:t>
            </w:r>
          </w:p>
        </w:tc>
        <w:tc>
          <w:tcPr>
            <w:tcW w:w="2245" w:type="dxa"/>
          </w:tcPr>
          <w:p w:rsidR="00100B76" w:rsidRDefault="005A26D6" w:rsidP="00B93005">
            <w:r>
              <w:t>El objetivo del VI Programa es lograr una disociación o desacoplamiento entre las presiones medioambientales y el crecimiento económico, manteniendo la coherencia con el principio de subsidiariedad y respetando la diversidad de condiciones de las distintas regiones de la Unión Europea.</w:t>
            </w:r>
          </w:p>
        </w:tc>
      </w:tr>
    </w:tbl>
    <w:p w:rsidR="00B93005" w:rsidRDefault="00B93005" w:rsidP="00B93005"/>
    <w:p w:rsidR="00470BE7" w:rsidRDefault="00470BE7" w:rsidP="00B93005"/>
    <w:p w:rsidR="00470BE7" w:rsidRDefault="00470BE7" w:rsidP="00B93005"/>
    <w:p w:rsidR="00470BE7" w:rsidRDefault="00470BE7" w:rsidP="00B93005"/>
    <w:p w:rsidR="00470BE7" w:rsidRDefault="00470BE7" w:rsidP="00B93005"/>
    <w:p w:rsidR="00470BE7" w:rsidRDefault="00470BE7" w:rsidP="00B93005"/>
    <w:p w:rsidR="00470BE7" w:rsidRDefault="00470BE7" w:rsidP="00B93005"/>
    <w:p w:rsidR="00470BE7" w:rsidRDefault="00470BE7" w:rsidP="00B93005">
      <w:pPr>
        <w:rPr>
          <w:rFonts w:ascii="Arial" w:hAnsi="Arial" w:cs="Arial"/>
          <w:color w:val="222222"/>
          <w:sz w:val="16"/>
          <w:szCs w:val="16"/>
          <w:shd w:val="clear" w:color="auto" w:fill="FFFFFF"/>
        </w:rPr>
      </w:pPr>
      <w:proofErr w:type="spellStart"/>
      <w:r>
        <w:rPr>
          <w:rFonts w:ascii="Arial" w:hAnsi="Arial" w:cs="Arial"/>
          <w:color w:val="222222"/>
          <w:sz w:val="16"/>
          <w:szCs w:val="16"/>
          <w:shd w:val="clear" w:color="auto" w:fill="FFFFFF"/>
        </w:rPr>
        <w:t>Frondizi</w:t>
      </w:r>
      <w:proofErr w:type="spellEnd"/>
      <w:r>
        <w:rPr>
          <w:rFonts w:ascii="Arial" w:hAnsi="Arial" w:cs="Arial"/>
          <w:color w:val="222222"/>
          <w:sz w:val="16"/>
          <w:szCs w:val="16"/>
          <w:shd w:val="clear" w:color="auto" w:fill="FFFFFF"/>
        </w:rPr>
        <w:t>, R. (1958). </w:t>
      </w:r>
      <w:r>
        <w:rPr>
          <w:rFonts w:ascii="Arial" w:hAnsi="Arial" w:cs="Arial"/>
          <w:i/>
          <w:iCs/>
          <w:color w:val="222222"/>
          <w:sz w:val="16"/>
          <w:szCs w:val="16"/>
          <w:shd w:val="clear" w:color="auto" w:fill="FFFFFF"/>
        </w:rPr>
        <w:t>¿ Qué son los valores</w:t>
      </w:r>
      <w:proofErr w:type="gramStart"/>
      <w:r>
        <w:rPr>
          <w:rFonts w:ascii="Arial" w:hAnsi="Arial" w:cs="Arial"/>
          <w:i/>
          <w:iCs/>
          <w:color w:val="222222"/>
          <w:sz w:val="16"/>
          <w:szCs w:val="16"/>
          <w:shd w:val="clear" w:color="auto" w:fill="FFFFFF"/>
        </w:rPr>
        <w:t>?</w:t>
      </w:r>
      <w:r>
        <w:rPr>
          <w:rFonts w:ascii="Arial" w:hAnsi="Arial" w:cs="Arial"/>
          <w:color w:val="222222"/>
          <w:sz w:val="16"/>
          <w:szCs w:val="16"/>
          <w:shd w:val="clear" w:color="auto" w:fill="FFFFFF"/>
        </w:rPr>
        <w:t>.</w:t>
      </w:r>
      <w:proofErr w:type="gramEnd"/>
      <w:r>
        <w:rPr>
          <w:rFonts w:ascii="Arial" w:hAnsi="Arial" w:cs="Arial"/>
          <w:color w:val="222222"/>
          <w:sz w:val="16"/>
          <w:szCs w:val="16"/>
          <w:shd w:val="clear" w:color="auto" w:fill="FFFFFF"/>
        </w:rPr>
        <w:t xml:space="preserve"> Fondo de cultura económica.</w:t>
      </w:r>
    </w:p>
    <w:p w:rsidR="00EC6436" w:rsidRDefault="00EC6436" w:rsidP="00B93005">
      <w:r>
        <w:rPr>
          <w:rFonts w:ascii="Arial" w:hAnsi="Arial" w:cs="Arial"/>
          <w:color w:val="222222"/>
          <w:sz w:val="20"/>
          <w:szCs w:val="20"/>
          <w:shd w:val="clear" w:color="auto" w:fill="FFFFFF"/>
        </w:rPr>
        <w:t xml:space="preserve">Díaz, S. R. (2012). Consumismo y Sociedad: una visión crítica del Homo </w:t>
      </w:r>
      <w:proofErr w:type="spellStart"/>
      <w:r>
        <w:rPr>
          <w:rFonts w:ascii="Arial" w:hAnsi="Arial" w:cs="Arial"/>
          <w:color w:val="222222"/>
          <w:sz w:val="20"/>
          <w:szCs w:val="20"/>
          <w:shd w:val="clear" w:color="auto" w:fill="FFFFFF"/>
        </w:rPr>
        <w:t>Consumens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Nómadas. </w:t>
      </w:r>
      <w:proofErr w:type="spellStart"/>
      <w:r>
        <w:rPr>
          <w:rFonts w:ascii="Arial" w:hAnsi="Arial" w:cs="Arial"/>
          <w:i/>
          <w:iCs/>
          <w:color w:val="222222"/>
          <w:sz w:val="20"/>
          <w:szCs w:val="20"/>
          <w:shd w:val="clear" w:color="auto" w:fill="FFFFFF"/>
        </w:rPr>
        <w:t>Critical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Social and </w:t>
      </w:r>
      <w:proofErr w:type="spellStart"/>
      <w:r>
        <w:rPr>
          <w:rFonts w:ascii="Arial" w:hAnsi="Arial" w:cs="Arial"/>
          <w:i/>
          <w:iCs/>
          <w:color w:val="222222"/>
          <w:sz w:val="20"/>
          <w:szCs w:val="20"/>
          <w:shd w:val="clear" w:color="auto" w:fill="FFFFFF"/>
        </w:rPr>
        <w:t>Juridical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Sciences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(2).</w:t>
      </w:r>
    </w:p>
    <w:sectPr w:rsidR="00EC6436" w:rsidSect="007634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03BE5"/>
    <w:multiLevelType w:val="hybridMultilevel"/>
    <w:tmpl w:val="AC0842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93005"/>
    <w:rsid w:val="00067D85"/>
    <w:rsid w:val="00100B76"/>
    <w:rsid w:val="00470BE7"/>
    <w:rsid w:val="005A26D6"/>
    <w:rsid w:val="00763494"/>
    <w:rsid w:val="00A0438F"/>
    <w:rsid w:val="00A7729D"/>
    <w:rsid w:val="00B93005"/>
    <w:rsid w:val="00EC643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4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005"/>
    <w:pPr>
      <w:ind w:left="720"/>
      <w:contextualSpacing/>
    </w:pPr>
  </w:style>
  <w:style w:type="table" w:styleId="Tablaconcuadrcula">
    <w:name w:val="Table Grid"/>
    <w:basedOn w:val="Tablanormal"/>
    <w:uiPriority w:val="59"/>
    <w:rsid w:val="00B930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470BE7"/>
    <w:rPr>
      <w:b/>
      <w:bCs/>
    </w:rPr>
  </w:style>
  <w:style w:type="character" w:styleId="Hipervnculo">
    <w:name w:val="Hyperlink"/>
    <w:basedOn w:val="Fuentedeprrafopredeter"/>
    <w:uiPriority w:val="99"/>
    <w:semiHidden/>
    <w:unhideWhenUsed/>
    <w:rsid w:val="00EC643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ndex.php?title=Cosas_materiales&amp;action=edit&amp;redlink=1" TargetMode="External"/><Relationship Id="rId13" Type="http://schemas.openxmlformats.org/officeDocument/2006/relationships/hyperlink" Target="https://www.ecured.cu/Medio_ambien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Hombre" TargetMode="External"/><Relationship Id="rId12" Type="http://schemas.openxmlformats.org/officeDocument/2006/relationships/hyperlink" Target="https://www.ecured.cu/H%C3%A1bitat" TargetMode="External"/><Relationship Id="rId17" Type="http://schemas.openxmlformats.org/officeDocument/2006/relationships/hyperlink" Target="https://www.monografias.com/trabajos7/cofi/cofi.shtml" TargetMode="External"/><Relationship Id="rId2" Type="http://schemas.openxmlformats.org/officeDocument/2006/relationships/styles" Target="styles.xml"/><Relationship Id="rId16" Type="http://schemas.openxmlformats.org/officeDocument/2006/relationships/hyperlink" Target="https://www.monografias.com/trabajos35/sociedad/sociedad.shtml" TargetMode="External"/><Relationship Id="rId1" Type="http://schemas.openxmlformats.org/officeDocument/2006/relationships/numbering" Target="numbering.xml"/><Relationship Id="rId6" Type="http://schemas.openxmlformats.org/officeDocument/2006/relationships/hyperlink" Target="http://es.wikipedia.org/wiki/Necesidad" TargetMode="External"/><Relationship Id="rId11" Type="http://schemas.openxmlformats.org/officeDocument/2006/relationships/hyperlink" Target="https://www.ecured.cu/Geolog%C3%ADa" TargetMode="External"/><Relationship Id="rId5" Type="http://schemas.openxmlformats.org/officeDocument/2006/relationships/hyperlink" Target="http://es.wikipedia.org/wiki/Bien_de_consumo" TargetMode="External"/><Relationship Id="rId15" Type="http://schemas.openxmlformats.org/officeDocument/2006/relationships/hyperlink" Target="https://www.ecured.cu/Ecosistemas" TargetMode="External"/><Relationship Id="rId10" Type="http://schemas.openxmlformats.org/officeDocument/2006/relationships/hyperlink" Target="https://www.ecured.cu/Cli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ured.cu/Seres_vivos" TargetMode="External"/><Relationship Id="rId14" Type="http://schemas.openxmlformats.org/officeDocument/2006/relationships/hyperlink" Target="https://www.ecured.cu/Hom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ELEKTRA</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jfpinedar</dc:creator>
  <cp:lastModifiedBy>jfpinedar</cp:lastModifiedBy>
  <cp:revision>1</cp:revision>
  <dcterms:created xsi:type="dcterms:W3CDTF">2020-01-24T21:07:00Z</dcterms:created>
  <dcterms:modified xsi:type="dcterms:W3CDTF">2020-01-24T23:33:00Z</dcterms:modified>
</cp:coreProperties>
</file>