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bookmarkStart w:colFirst="0" w:colLast="0" w:name="_heading=h.y3zfunl34ml0" w:id="0"/>
      <w:bookmarkEnd w:id="0"/>
      <w:r w:rsidDel="00000000" w:rsidR="00000000" w:rsidRPr="00000000">
        <w:rPr>
          <w:rtl w:val="0"/>
        </w:rPr>
        <w:t xml:space="preserve">Gestión de Contenedores mediante el uso de Tecnologías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Ingreso de registros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Versión 1.2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Caso de Uso: Ingreso de registro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Permitir al usuario ingresar la información que posteriormente será usada para el seguimiento.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Precondiciones</w:t>
      </w:r>
    </w:p>
    <w:p w:rsidR="00000000" w:rsidDel="00000000" w:rsidP="00000000" w:rsidRDefault="00000000" w:rsidRPr="00000000" w14:paraId="0000000F">
      <w:pPr>
        <w:pStyle w:val="Heading2"/>
        <w:widowControl w:val="1"/>
        <w:numPr>
          <w:ilvl w:val="1"/>
          <w:numId w:val="1"/>
        </w:numPr>
        <w:ind w:left="0"/>
      </w:pPr>
      <w:bookmarkStart w:colFirst="0" w:colLast="0" w:name="_heading=h.xsx4glk5zsag" w:id="4"/>
      <w:bookmarkEnd w:id="4"/>
      <w:r w:rsidDel="00000000" w:rsidR="00000000" w:rsidRPr="00000000">
        <w:rPr>
          <w:rtl w:val="0"/>
        </w:rPr>
        <w:t xml:space="preserve">El agente de aduana envía un correo informando los horarios de retiro de un contenedor del puerto.</w:t>
      </w:r>
    </w:p>
    <w:p w:rsidR="00000000" w:rsidDel="00000000" w:rsidP="00000000" w:rsidRDefault="00000000" w:rsidRPr="00000000" w14:paraId="00000010">
      <w:pPr>
        <w:pStyle w:val="Heading2"/>
        <w:widowControl w:val="1"/>
        <w:numPr>
          <w:ilvl w:val="1"/>
          <w:numId w:val="1"/>
        </w:numPr>
        <w:ind w:left="0" w:firstLine="0"/>
      </w:pPr>
      <w:bookmarkStart w:colFirst="0" w:colLast="0" w:name="_heading=h.mqa66dnmyuof" w:id="5"/>
      <w:bookmarkEnd w:id="5"/>
      <w:r w:rsidDel="00000000" w:rsidR="00000000" w:rsidRPr="00000000">
        <w:rPr>
          <w:rtl w:val="0"/>
        </w:rPr>
        <w:t xml:space="preserve">El personal de Comex debe contar previamente con la información relevante de un contenedor.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widowControl w:val="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Escenario Principal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755"/>
        <w:gridCol w:w="6945"/>
        <w:tblGridChange w:id="0">
          <w:tblGrid>
            <w:gridCol w:w="660"/>
            <w:gridCol w:w="1755"/>
            <w:gridCol w:w="6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de comex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Búsqueda y recopilación de información.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de comex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Selección del contenedor que arriba al puerto.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de comex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 los siguientes campos: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Proveedor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Correlativo de contenedor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Mercadería, cantidad y unidad de medida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Tipo de carga (refrigerada/seca)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Organización de la carga (paletizada/ no paletizada)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Categoría de la mercadería (A, B ó C)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Fecha y hora de retiro (del puerto)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Adjuntar lista de empaque.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de comex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Envío del formulario y notificación de la llegada del contenedor.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Flujos Alternativos</w:t>
      </w:r>
    </w:p>
    <w:p w:rsidR="00000000" w:rsidDel="00000000" w:rsidP="00000000" w:rsidRDefault="00000000" w:rsidRPr="00000000" w14:paraId="0000002E">
      <w:pPr>
        <w:pStyle w:val="Heading2"/>
        <w:widowControl w:val="1"/>
        <w:numPr>
          <w:ilvl w:val="1"/>
          <w:numId w:val="1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n1slp51fylb6" w:id="6"/>
      <w:bookmarkEnd w:id="6"/>
      <w:r w:rsidDel="00000000" w:rsidR="00000000" w:rsidRPr="00000000">
        <w:rPr>
          <w:rtl w:val="0"/>
        </w:rPr>
        <w:t xml:space="preserve">Se recibe un contenedor que no estaba ingresado en el sistema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800"/>
        <w:gridCol w:w="6840"/>
        <w:tblGridChange w:id="0">
          <w:tblGrid>
            <w:gridCol w:w="720"/>
            <w:gridCol w:w="1800"/>
            <w:gridCol w:w="6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Personal comex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Ingresar el registro de manera tardía y lanzar una alerta informativa.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widowControl w:val="1"/>
        <w:ind w:left="0"/>
        <w:rPr/>
      </w:pPr>
      <w:bookmarkStart w:colFirst="0" w:colLast="0" w:name="_heading=h.4odjl1orbjri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widowControl w:val="1"/>
        <w:numPr>
          <w:ilvl w:val="1"/>
          <w:numId w:val="1"/>
        </w:numPr>
        <w:ind w:left="0"/>
        <w:rPr>
          <w:rFonts w:ascii="Arial" w:cs="Arial" w:eastAsia="Arial" w:hAnsi="Arial"/>
          <w:b w:val="1"/>
        </w:rPr>
      </w:pPr>
      <w:bookmarkStart w:colFirst="0" w:colLast="0" w:name="_heading=h.gz8unzdw9js" w:id="8"/>
      <w:bookmarkEnd w:id="8"/>
      <w:r w:rsidDel="00000000" w:rsidR="00000000" w:rsidRPr="00000000">
        <w:rPr>
          <w:rtl w:val="0"/>
        </w:rPr>
        <w:t xml:space="preserve">El personal de Comex no cuenta con la lista de empaque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1800"/>
        <w:gridCol w:w="6840"/>
        <w:tblGridChange w:id="0">
          <w:tblGrid>
            <w:gridCol w:w="720"/>
            <w:gridCol w:w="1800"/>
            <w:gridCol w:w="68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comex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Ingresar la información relevante y marcar la lista de empaque como “pendiente”.</w:t>
            </w:r>
          </w:p>
        </w:tc>
      </w:tr>
    </w:tbl>
    <w:p w:rsidR="00000000" w:rsidDel="00000000" w:rsidP="00000000" w:rsidRDefault="00000000" w:rsidRPr="00000000" w14:paraId="0000003E">
      <w:pPr>
        <w:pStyle w:val="Heading2"/>
        <w:widowControl w:val="1"/>
        <w:ind w:left="0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r43izvbkjs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2et92p0" w:id="10"/>
      <w:bookmarkEnd w:id="10"/>
      <w:r w:rsidDel="00000000" w:rsidR="00000000" w:rsidRPr="00000000">
        <w:rPr>
          <w:rtl w:val="0"/>
        </w:rPr>
        <w:t xml:space="preserve">Post 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widowControl w:val="1"/>
        <w:numPr>
          <w:ilvl w:val="1"/>
          <w:numId w:val="1"/>
        </w:numPr>
        <w:ind w:left="0"/>
      </w:pPr>
      <w:bookmarkStart w:colFirst="0" w:colLast="0" w:name="_heading=h.kvs9o7gshnbq" w:id="11"/>
      <w:bookmarkEnd w:id="11"/>
      <w:r w:rsidDel="00000000" w:rsidR="00000000" w:rsidRPr="00000000">
        <w:rPr>
          <w:rtl w:val="0"/>
        </w:rPr>
        <w:t xml:space="preserve">Se cambia de </w:t>
      </w:r>
      <w:r w:rsidDel="00000000" w:rsidR="00000000" w:rsidRPr="00000000">
        <w:rPr>
          <w:i w:val="1"/>
          <w:rtl w:val="0"/>
        </w:rPr>
        <w:t xml:space="preserve">estado</w:t>
      </w:r>
      <w:r w:rsidDel="00000000" w:rsidR="00000000" w:rsidRPr="00000000">
        <w:rPr>
          <w:rtl w:val="0"/>
        </w:rPr>
        <w:t xml:space="preserve"> el registro.</w:t>
      </w:r>
    </w:p>
    <w:p w:rsidR="00000000" w:rsidDel="00000000" w:rsidP="00000000" w:rsidRDefault="00000000" w:rsidRPr="00000000" w14:paraId="00000042">
      <w:pPr>
        <w:pStyle w:val="Heading2"/>
        <w:widowControl w:val="1"/>
        <w:numPr>
          <w:ilvl w:val="1"/>
          <w:numId w:val="1"/>
        </w:numPr>
        <w:ind w:left="0"/>
      </w:pPr>
      <w:bookmarkStart w:colFirst="0" w:colLast="0" w:name="_heading=h.19a0buayyc2j" w:id="12"/>
      <w:bookmarkEnd w:id="12"/>
      <w:r w:rsidDel="00000000" w:rsidR="00000000" w:rsidRPr="00000000">
        <w:rPr>
          <w:rtl w:val="0"/>
        </w:rPr>
        <w:t xml:space="preserve">Se despliega la información en el panel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widowControl w:val="1"/>
        <w:numPr>
          <w:ilvl w:val="1"/>
          <w:numId w:val="1"/>
        </w:numPr>
        <w:ind w:left="0"/>
      </w:pPr>
      <w:bookmarkStart w:colFirst="0" w:colLast="0" w:name="_heading=h.xi65pdjhzdo1" w:id="13"/>
      <w:bookmarkEnd w:id="13"/>
      <w:r w:rsidDel="00000000" w:rsidR="00000000" w:rsidRPr="00000000">
        <w:rPr>
          <w:rtl w:val="0"/>
        </w:rPr>
        <w:t xml:space="preserve">Permitir visualizar el detalle de los registros e historial.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ICF232 Ingeniería de Software I,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47">
          <w:pPr>
            <w:rPr/>
          </w:pPr>
          <w:r w:rsidDel="00000000" w:rsidR="00000000" w:rsidRPr="00000000">
            <w:rPr>
              <w:rtl w:val="0"/>
            </w:rPr>
            <w:t xml:space="preserve">Gestión de Contenedores mediante el uso de Tecnologías Web</w:t>
          </w:r>
        </w:p>
      </w:tc>
      <w:tc>
        <w:tcPr/>
        <w:p w:rsidR="00000000" w:rsidDel="00000000" w:rsidP="00000000" w:rsidRDefault="00000000" w:rsidRPr="00000000" w14:paraId="00000048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Versión:           1.2</w:t>
          </w:r>
        </w:p>
      </w:tc>
    </w:tr>
    <w:tr>
      <w:tc>
        <w:tcPr/>
        <w:p w:rsidR="00000000" w:rsidDel="00000000" w:rsidP="00000000" w:rsidRDefault="00000000" w:rsidRPr="00000000" w14:paraId="00000049">
          <w:pPr>
            <w:rPr/>
          </w:pPr>
          <w:r w:rsidDel="00000000" w:rsidR="00000000" w:rsidRPr="00000000">
            <w:rPr>
              <w:rtl w:val="0"/>
            </w:rPr>
            <w:t xml:space="preserve">Ingreso de registros</w:t>
          </w:r>
        </w:p>
      </w:tc>
      <w:tc>
        <w:tcPr/>
        <w:p w:rsidR="00000000" w:rsidDel="00000000" w:rsidP="00000000" w:rsidRDefault="00000000" w:rsidRPr="00000000" w14:paraId="0000004A">
          <w:pPr>
            <w:rPr/>
          </w:pPr>
          <w:r w:rsidDel="00000000" w:rsidR="00000000" w:rsidRPr="00000000">
            <w:rPr>
              <w:rtl w:val="0"/>
            </w:rPr>
            <w:t xml:space="preserve">Fecha: 13-05-2021</w:t>
          </w:r>
        </w:p>
      </w:tc>
    </w:tr>
    <w:tr>
      <w:tc>
        <w:tcPr>
          <w:gridSpan w:val="2"/>
        </w:tcPr>
        <w:p w:rsidR="00000000" w:rsidDel="00000000" w:rsidP="00000000" w:rsidRDefault="00000000" w:rsidRPr="00000000" w14:paraId="0000004B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ICF232 Ingeniería de Software I</w:t>
    </w:r>
  </w:p>
  <w:p w:rsidR="00000000" w:rsidDel="00000000" w:rsidP="00000000" w:rsidRDefault="00000000" w:rsidRPr="00000000" w14:paraId="0000005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  <w:rPr>
      <w:lang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TOC4">
    <w:name w:val="toc 4"/>
    <w:basedOn w:val="Normal"/>
    <w:next w:val="Normal"/>
    <w:semiHidden w:val="1"/>
    <w:pPr>
      <w:ind w:left="600"/>
    </w:pPr>
  </w:style>
  <w:style w:type="paragraph" w:styleId="TOC5">
    <w:name w:val="toc 5"/>
    <w:basedOn w:val="Normal"/>
    <w:next w:val="Normal"/>
    <w:semiHidden w:val="1"/>
    <w:pPr>
      <w:ind w:left="800"/>
    </w:pPr>
  </w:style>
  <w:style w:type="paragraph" w:styleId="TOC6">
    <w:name w:val="toc 6"/>
    <w:basedOn w:val="Normal"/>
    <w:next w:val="Normal"/>
    <w:semiHidden w:val="1"/>
    <w:pPr>
      <w:ind w:left="1000"/>
    </w:pPr>
  </w:style>
  <w:style w:type="paragraph" w:styleId="TOC7">
    <w:name w:val="toc 7"/>
    <w:basedOn w:val="Normal"/>
    <w:next w:val="Normal"/>
    <w:semiHidden w:val="1"/>
    <w:pPr>
      <w:ind w:left="1200"/>
    </w:pPr>
  </w:style>
  <w:style w:type="paragraph" w:styleId="TOC8">
    <w:name w:val="toc 8"/>
    <w:basedOn w:val="Normal"/>
    <w:next w:val="Normal"/>
    <w:semiHidden w:val="1"/>
    <w:pPr>
      <w:ind w:left="1400"/>
    </w:pPr>
  </w:style>
  <w:style w:type="paragraph" w:styleId="TOC9">
    <w:name w:val="toc 9"/>
    <w:basedOn w:val="Normal"/>
    <w:next w:val="Normal"/>
    <w:semiHidden w:val="1"/>
    <w:pPr>
      <w:ind w:left="1600"/>
    </w:pPr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paragraph" w:styleId="NormalWeb">
    <w:name w:val="Normal (Web)"/>
    <w:basedOn w:val="Normal"/>
    <w:semiHidden w:val="1"/>
    <w:pPr>
      <w:widowControl w:val="1"/>
      <w:spacing w:after="100" w:afterAutospacing="1" w:before="100" w:beforeAutospacing="1" w:line="240" w:lineRule="auto"/>
    </w:pPr>
    <w:rPr>
      <w:sz w:val="24"/>
      <w:szCs w:val="24"/>
    </w:rPr>
  </w:style>
  <w:style w:type="paragraph" w:styleId="infoblue0" w:customStyle="1">
    <w:name w:val="infoblue"/>
    <w:basedOn w:val="Normal"/>
    <w:pPr>
      <w:widowControl w:val="1"/>
      <w:spacing w:after="120"/>
      <w:ind w:left="720"/>
    </w:pPr>
    <w:rPr>
      <w:rFonts w:eastAsia="Arial Unicode MS"/>
      <w:i w:val="1"/>
      <w:iCs w:val="1"/>
      <w:color w:val="0000ff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MoDwDk4LD2KSeMrjWIiruWQ5Ug==">AMUW2mWr9OtfTD8/mSolhLKk0iatPjyKtPFw1C9GUA6Z5zcYDX499WEdHDRMb/EKy8eYY7L8JQpWKOxxwRxoRd9SUvMjpeEgZq+77WyhYOR/Fwda0YozEeRUnNgSzUVfn3/U7GhnKwB+jfyCS/kspOPU7axBQshlkVdSg5zIZzuxc9qvXsQl05zxL1IOFpfJLoGBIso/LgPTjJ12gAl8R+HoRrBSQTD4MHZS4oPmhEqYWhV8qCPwdJ/OWJtGwkV4hwh7fpkc3I/ePNxdU0xeM5AsFGZoDzP9n+Stg6mecWZZvfOW++iOMyky+Eg8mnGo44aWWdCdcmmsjVZa1i0STBnaySRy5chbRKQ99zzxbjgsm7UKiWfqtemU4cOReCV69d0kg5KmIb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2020-03-27T16:56:00Z</dcterms:created>
  <dc:creator>Pablo Schwarzenberg</dc:creator>
</cp:coreProperties>
</file>