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120"/>
        <w:jc w:val="center"/>
      </w:pPr>
      <w:r>
        <w:rPr>
          <w:rFonts w:ascii="Georgia" w:hAnsi="Georgia"/>
          <w:b/>
          <w:color w:val="A34436"/>
          <w:sz w:val="40"/>
        </w:rPr>
        <w:t>JESUIT PUNE PROVINCE ACTIVITY MAP</w:t>
      </w:r>
    </w:p>
    <w:p>
      <w:pPr>
        <w:spacing w:after="360"/>
        <w:jc w:val="center"/>
      </w:pPr>
      <w:r>
        <w:rPr>
          <w:rFonts w:ascii="Georgia" w:hAnsi="Georgia"/>
          <w:i/>
          <w:color w:val="808080"/>
          <w:sz w:val="26"/>
        </w:rPr>
        <w:t>Website Layout &amp; Visitor Navigation Flowchart</w:t>
      </w:r>
    </w:p>
    <w:p>
      <w:pPr>
        <w:spacing w:after="400"/>
        <w:pBdr>
          <w:bottom w:val="single" w:sz="18" w:space="1" w:color="A34436"/>
        </w:pBdr>
      </w:pPr>
    </w:p>
    <w:p>
      <w:pPr>
        <w:spacing w:after="480"/>
      </w:pPr>
      <w:r>
        <w:rPr>
          <w:rFonts w:ascii="Calibri" w:hAnsi="Calibri"/>
          <w:color w:val="2D2D2D"/>
          <w:sz w:val="22"/>
        </w:rPr>
        <w:t>Below is the visual flowchart of the website. It illustrates the layout of each page and the navigation path a visitor follows when exploring the map.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792"/>
            <w:gridSpan w:val="3"/>
            <w:shd w:val="clear" w:color="auto" w:fill="F9F8F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space="0" w:color="A34436"/>
              <w:left w:val="single" w:sz="12" w:space="0" w:color="A34436"/>
              <w:bottom w:val="single" w:sz="12" w:space="0" w:color="A34436"/>
              <w:right w:val="single" w:sz="12" w:space="0" w:color="A34436"/>
            </w:tcBorders>
          </w:tcPr>
          <w:p>
            <w:pPr>
              <w:spacing w:before="0" w:after="80"/>
              <w:jc w:val="center"/>
            </w:pPr>
            <w:r>
              <w:rPr>
                <w:rFonts w:ascii="Georgia" w:hAnsi="Georgia"/>
                <w:b/>
                <w:color w:val="A34436"/>
                <w:sz w:val="24"/>
              </w:rPr>
              <w:t xml:space="preserve">1. Home / Landing Page (/) 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2D2D2D"/>
                <w:sz w:val="20"/>
              </w:rPr>
              <w:t>The visitor entry point. Introduces the Jesuit mission, AMDG motto, presence stats, and links to the interactive map.</w:t>
            </w:r>
          </w:p>
        </w:tc>
      </w:tr>
      <w:tr>
        <w:tc>
          <w:tcPr>
            <w:tcW w:type="dxa" w:w="9792"/>
            <w:gridSpan w:val="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C5A059"/>
                <w:sz w:val="36"/>
              </w:rPr>
              <w:t>↓</w:t>
            </w:r>
          </w:p>
        </w:tc>
      </w:tr>
      <w:tr>
        <w:tc>
          <w:tcPr>
            <w:tcW w:type="dxa" w:w="9792"/>
            <w:gridSpan w:val="3"/>
            <w:shd w:val="clear" w:color="auto" w:fill="F9F8F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space="0" w:color="A34436"/>
              <w:left w:val="single" w:sz="12" w:space="0" w:color="A34436"/>
              <w:bottom w:val="single" w:sz="12" w:space="0" w:color="A34436"/>
              <w:right w:val="single" w:sz="12" w:space="0" w:color="A34436"/>
            </w:tcBorders>
          </w:tcPr>
          <w:p>
            <w:pPr>
              <w:spacing w:before="0" w:after="80"/>
              <w:jc w:val="center"/>
            </w:pPr>
            <w:r>
              <w:rPr>
                <w:rFonts w:ascii="Georgia" w:hAnsi="Georgia"/>
                <w:b/>
                <w:color w:val="A34436"/>
                <w:sz w:val="24"/>
              </w:rPr>
              <w:t>2. Interactive Map Page (/map)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2D2D2D"/>
                <w:sz w:val="20"/>
              </w:rPr>
              <w:t>The core display. Features a Leaflet map showing color-coded markers and boundaries, with a sidebar for search and filtering.</w:t>
            </w:r>
          </w:p>
        </w:tc>
      </w:tr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C5A059"/>
                <w:sz w:val="36"/>
              </w:rPr>
              <w:t>↙</w:t>
            </w:r>
          </w:p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C5A059"/>
                <w:sz w:val="36"/>
              </w:rPr>
              <w:t>↘</w:t>
            </w:r>
          </w:p>
        </w:tc>
      </w:tr>
      <w:tr>
        <w:tc>
          <w:tcPr>
            <w:tcW w:type="dxa" w:w="4320"/>
            <w:shd w:val="clear" w:color="auto" w:fill="F9F8F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space="0" w:color="C5A059"/>
              <w:left w:val="single" w:sz="12" w:space="0" w:color="C5A059"/>
              <w:bottom w:val="single" w:sz="12" w:space="0" w:color="C5A059"/>
              <w:right w:val="single" w:sz="12" w:space="0" w:color="C5A059"/>
            </w:tcBorders>
          </w:tcPr>
          <w:p>
            <w:pPr>
              <w:spacing w:before="0" w:after="80"/>
              <w:jc w:val="center"/>
            </w:pPr>
            <w:r>
              <w:rPr>
                <w:rFonts w:ascii="Georgia" w:hAnsi="Georgia"/>
                <w:b/>
                <w:color w:val="A34436"/>
                <w:sz w:val="24"/>
              </w:rPr>
              <w:t>VISITOR PATH</w:t>
              <w:br/>
              <w:t>(Explore &amp; Search)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2D2D2D"/>
                <w:sz w:val="20"/>
              </w:rPr>
              <w:t>For general public users, scholars, and parish members visiting the site.</w:t>
            </w:r>
          </w:p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320"/>
            <w:shd w:val="clear" w:color="auto" w:fill="F9F8F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space="0" w:color="C5A059"/>
              <w:left w:val="single" w:sz="12" w:space="0" w:color="C5A059"/>
              <w:bottom w:val="single" w:sz="12" w:space="0" w:color="C5A059"/>
              <w:right w:val="single" w:sz="12" w:space="0" w:color="C5A059"/>
            </w:tcBorders>
          </w:tcPr>
          <w:p>
            <w:pPr>
              <w:spacing w:before="0" w:after="80"/>
              <w:jc w:val="center"/>
            </w:pPr>
            <w:r>
              <w:rPr>
                <w:rFonts w:ascii="Georgia" w:hAnsi="Georgia"/>
                <w:b/>
                <w:color w:val="A34436"/>
                <w:sz w:val="24"/>
              </w:rPr>
              <w:t>ADMINISTRATOR PATH</w:t>
              <w:br/>
              <w:t>(Manage &amp; Update)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2D2D2D"/>
                <w:sz w:val="20"/>
              </w:rPr>
              <w:t>For authorized coordinators and web developers updating province records.</w:t>
            </w:r>
          </w:p>
        </w:tc>
      </w:tr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C5A059"/>
                <w:sz w:val="36"/>
              </w:rPr>
              <w:t>↓</w:t>
            </w:r>
          </w:p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C5A059"/>
                <w:sz w:val="36"/>
              </w:rPr>
              <w:t>↓</w:t>
            </w:r>
          </w:p>
        </w:tc>
      </w:tr>
      <w:tr>
        <w:tc>
          <w:tcPr>
            <w:tcW w:type="dxa" w:w="4320"/>
            <w:shd w:val="clear" w:color="auto" w:fill="F9F8F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space="0" w:color="A34436"/>
              <w:left w:val="single" w:sz="12" w:space="0" w:color="A34436"/>
              <w:bottom w:val="single" w:sz="12" w:space="0" w:color="A34436"/>
              <w:right w:val="single" w:sz="12" w:space="0" w:color="A34436"/>
            </w:tcBorders>
          </w:tcPr>
          <w:p>
            <w:pPr>
              <w:spacing w:before="0" w:after="80"/>
              <w:jc w:val="center"/>
            </w:pPr>
            <w:r>
              <w:rPr>
                <w:rFonts w:ascii="Georgia" w:hAnsi="Georgia"/>
                <w:b/>
                <w:color w:val="A34436"/>
                <w:sz w:val="24"/>
              </w:rPr>
              <w:t>3A. Search &amp; Click Markers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2D2D2D"/>
                <w:sz w:val="20"/>
              </w:rPr>
              <w:t>Visitor types a village name or filters categories (like parishes or NFE centres) and clicks a map pin.</w:t>
            </w:r>
          </w:p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320"/>
            <w:shd w:val="clear" w:color="auto" w:fill="F9F8F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space="0" w:color="A34436"/>
              <w:left w:val="single" w:sz="12" w:space="0" w:color="A34436"/>
              <w:bottom w:val="single" w:sz="12" w:space="0" w:color="A34436"/>
              <w:right w:val="single" w:sz="12" w:space="0" w:color="A34436"/>
            </w:tcBorders>
          </w:tcPr>
          <w:p>
            <w:pPr>
              <w:spacing w:before="0" w:after="80"/>
              <w:jc w:val="center"/>
            </w:pPr>
            <w:r>
              <w:rPr>
                <w:rFonts w:ascii="Georgia" w:hAnsi="Georgia"/>
                <w:b/>
                <w:color w:val="A34436"/>
                <w:sz w:val="24"/>
              </w:rPr>
              <w:t>3B. Access Admin Panel (/admin)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2D2D2D"/>
                <w:sz w:val="20"/>
              </w:rPr>
              <w:t>Staff navigates to the secure Admin Portal dashboard to view statistics and database controls.</w:t>
            </w:r>
          </w:p>
        </w:tc>
      </w:tr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C5A059"/>
                <w:sz w:val="36"/>
              </w:rPr>
              <w:t>↓</w:t>
            </w:r>
          </w:p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C5A059"/>
                <w:sz w:val="36"/>
              </w:rPr>
              <w:t>↓</w:t>
            </w:r>
          </w:p>
        </w:tc>
      </w:tr>
      <w:tr>
        <w:tc>
          <w:tcPr>
            <w:tcW w:type="dxa" w:w="4320"/>
            <w:shd w:val="clear" w:color="auto" w:fill="F9F8F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space="0" w:color="A34436"/>
              <w:left w:val="single" w:sz="12" w:space="0" w:color="A34436"/>
              <w:bottom w:val="single" w:sz="12" w:space="0" w:color="A34436"/>
              <w:right w:val="single" w:sz="12" w:space="0" w:color="A34436"/>
            </w:tcBorders>
          </w:tcPr>
          <w:p>
            <w:pPr>
              <w:spacing w:before="0" w:after="80"/>
              <w:jc w:val="center"/>
            </w:pPr>
            <w:r>
              <w:rPr>
                <w:rFonts w:ascii="Georgia" w:hAnsi="Georgia"/>
                <w:b/>
                <w:color w:val="A34436"/>
                <w:sz w:val="24"/>
              </w:rPr>
              <w:t>4A. View Details Drawer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2D2D2D"/>
                <w:sz w:val="20"/>
              </w:rPr>
              <w:t>A panel slides out from the right showing establishing year, family count, total population, and custom statistics.</w:t>
            </w:r>
          </w:p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320"/>
            <w:shd w:val="clear" w:color="auto" w:fill="F9F8F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space="0" w:color="A34436"/>
              <w:left w:val="single" w:sz="12" w:space="0" w:color="A34436"/>
              <w:bottom w:val="single" w:sz="12" w:space="0" w:color="A34436"/>
              <w:right w:val="single" w:sz="12" w:space="0" w:color="A34436"/>
            </w:tcBorders>
          </w:tcPr>
          <w:p>
            <w:pPr>
              <w:spacing w:before="0" w:after="80"/>
              <w:jc w:val="center"/>
            </w:pPr>
            <w:r>
              <w:rPr>
                <w:rFonts w:ascii="Georgia" w:hAnsi="Georgia"/>
                <w:b/>
                <w:color w:val="A34436"/>
                <w:sz w:val="24"/>
              </w:rPr>
              <w:t>4B. Database Management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2D2D2D"/>
                <w:sz w:val="20"/>
              </w:rPr>
              <w:t>Coordinators export statistics to Excel files, import updated spreadsheets, or upload spatial maps (GeoJSON).</w:t>
            </w:r>
          </w:p>
        </w:tc>
      </w:tr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