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1600000" cy="1600000"/>
            <wp:docPr id="1" name="Aguas San Isidro logo"/>
            <a:graphic>
              <a:graphicData uri="http://schemas.openxmlformats.org/drawingml/2006/picture">
                <pic:pic>
                  <pic:nvPicPr>
                    <pic:cNvPr id="0" name="logo.jpg"/>
                    <pic:cNvPicPr/>
                  </pic:nvPicPr>
                  <pic:blipFill>
                    <a:blip r:embed="rIdImage"/>
                    <a:stretch>
                      <a:fillRect/>
                    </a:stretch>
                  </pic:blipFill>
                  <pic:spPr>
                    <a:xfrm>
                      <a:off x="0" y="0"/>
                      <a:ext cx="1600000" cy="1600000"/>
                    </a:xfrm>
                    <a:prstGeom prst="rect">
                      <a:avLst/>
                    </a:prstGeom>
                  </pic:spPr>
                </pic:pic>
              </a:graphicData>
            </a:graphic>
          </wp:inline>
        </w:drawing>
      </w:r>
    </w:p>
    <w:p>
      <w:pPr>
        <w:pStyle w:val="Title"/>
        <w:spacing w:after="120"/>
        <w:jc w:val="center"/>
      </w:pPr>
      <w:r>
        <w:t xml:space="preserve">Aguas San Isidro</w:t>
      </w:r>
    </w:p>
    <w:p>
      <w:pPr>
        <w:pStyle w:val="Subtitle"/>
        <w:spacing w:after="120"/>
        <w:jc w:val="center"/>
      </w:pPr>
      <w:r>
        <w:t xml:space="preserve">Manual de Uso</w:t>
      </w:r>
    </w:p>
    <w:p>
      <w:pPr>
        <w:pStyle w:val="Normal"/>
        <w:spacing w:after="120"/>
        <w:jc w:val="center"/>
      </w:pPr>
      <w:r>
        <w:t xml:space="preserve">Documentacion tecnica y operativa</w:t>
      </w:r>
    </w:p>
    <w:p>
      <w:pPr>
        <w:pStyle w:val="Normal"/>
        <w:spacing w:after="120"/>
        <w:jc w:val="center"/>
      </w:pPr>
      <w:r>
        <w:t xml:space="preserve">Documento preparado a partir de evidencia verificable del repositorio y de la sesion autorizada.</w:t>
      </w:r>
    </w:p>
    <w:p>
      <w:pPr>
        <w:pStyle w:val="Normal"/>
        <w:spacing w:after="120"/>
        <w:jc w:val="center"/>
      </w:pPr>
      <w:r>
        <w:t xml:space="preserve">Fecha de consulta: 02 de octubre de 2026</w:t>
      </w:r>
    </w:p>
    <w:p>
      <w:r>
        <w:br w:type="page"/>
      </w:r>
    </w:p>
    <w:p>
      <w:pPr>
        <w:pStyle w:val="Heading1"/>
        <w:spacing w:after="120"/>
      </w:pPr>
      <w:r>
        <w:t xml:space="preserve">Indice</w:t>
      </w:r>
    </w:p>
    <w:p>
      <w:pPr>
        <w:pStyle w:val="Heading2"/>
        <w:spacing w:after="120"/>
      </w:pPr>
      <w:r>
        <w:t xml:space="preserve">Propósito y alcance</w:t>
      </w:r>
    </w:p>
    <w:p>
      <w:pPr>
        <w:pStyle w:val="Heading2"/>
        <w:spacing w:after="120"/>
      </w:pPr>
      <w:r>
        <w:t xml:space="preserve">Acceso y sesión</w:t>
      </w:r>
    </w:p>
    <w:p>
      <w:pPr>
        <w:pStyle w:val="Heading2"/>
        <w:spacing w:after="120"/>
      </w:pPr>
      <w:r>
        <w:t xml:space="preserve">Perfiles</w:t>
      </w:r>
    </w:p>
    <w:p>
      <w:pPr>
        <w:pStyle w:val="Heading2"/>
        <w:spacing w:after="120"/>
      </w:pPr>
      <w:r>
        <w:t xml:space="preserve">Navegación funcional</w:t>
      </w:r>
    </w:p>
    <w:p>
      <w:pPr>
        <w:pStyle w:val="Heading2"/>
        <w:spacing w:after="120"/>
      </w:pPr>
      <w:r>
        <w:t xml:space="preserve">Flujos de trabajo</w:t>
      </w:r>
    </w:p>
    <w:p>
      <w:pPr>
        <w:pStyle w:val="Heading3"/>
        <w:spacing w:after="120"/>
      </w:pPr>
      <w:r>
        <w:t xml:space="preserve">Inventario y dispositivos</w:t>
      </w:r>
    </w:p>
    <w:p>
      <w:pPr>
        <w:pStyle w:val="Heading3"/>
        <w:spacing w:after="120"/>
      </w:pPr>
      <w:r>
        <w:t xml:space="preserve">SIM y línea móvil</w:t>
      </w:r>
    </w:p>
    <w:p>
      <w:pPr>
        <w:pStyle w:val="Heading3"/>
        <w:spacing w:after="120"/>
      </w:pPr>
      <w:r>
        <w:t xml:space="preserve">Custodia y devoluciones</w:t>
      </w:r>
    </w:p>
    <w:p>
      <w:pPr>
        <w:pStyle w:val="Heading3"/>
        <w:spacing w:after="120"/>
      </w:pPr>
      <w:r>
        <w:t xml:space="preserve">Actas y comprobantes</w:t>
      </w:r>
    </w:p>
    <w:p>
      <w:pPr>
        <w:pStyle w:val="Heading3"/>
        <w:spacing w:after="120"/>
      </w:pPr>
      <w:r>
        <w:t xml:space="preserve">Servicio técnico</w:t>
      </w:r>
    </w:p>
    <w:p>
      <w:pPr>
        <w:pStyle w:val="Heading3"/>
        <w:spacing w:after="120"/>
      </w:pPr>
      <w:r>
        <w:t xml:space="preserve">Offboarding</w:t>
      </w:r>
    </w:p>
    <w:p>
      <w:pPr>
        <w:pStyle w:val="Heading2"/>
        <w:spacing w:after="120"/>
      </w:pPr>
      <w:r>
        <w:t xml:space="preserve">Evidencia y estado</w:t>
      </w:r>
    </w:p>
    <w:p>
      <w:r>
        <w:br w:type="page"/>
      </w:r>
    </w:p>
    <w:p>
      <w:pPr>
        <w:pStyle w:val="Normal"/>
        <w:spacing w:after="120"/>
      </w:pPr>
      <w:r>
        <w:t xml:space="preserve">Este manual describe el uso funcional observado de ITAM v3.0 para Aguas San Isidro. Cubre el acceso, la consulta del inventario, la custodia de activos, las líneas móviles, los documentos operativos, el servicio técnico, el offboarding y los reportes. Las indicaciones se basan en las rutas Angular y los módulos del backend presentes en el commit d98da1223838be87ec48302a8c5427b88ee45bf7.</w:t>
      </w:r>
    </w:p>
    <w:p>
      <w:pPr>
        <w:pStyle w:val="List"/>
        <w:spacing w:after="120"/>
      </w:pPr>
      <w:r>
        <w:t xml:space="preserve">Abrir la aplicación y autenticarse mediante el formulario de login.</w:t>
      </w:r>
    </w:p>
    <w:p>
      <w:pPr>
        <w:pStyle w:val="List"/>
        <w:spacing w:after="120"/>
      </w:pPr>
      <w:r>
        <w:t xml:space="preserve">Si la cuenta exige cambio de contraseña o PIN, completar primero la pantalla Mi acceso.</w:t>
      </w:r>
    </w:p>
    <w:p>
      <w:pPr>
        <w:pStyle w:val="List"/>
        <w:spacing w:after="120"/>
      </w:pPr>
      <w:r>
        <w:t xml:space="preserve">La aplicación mantiene una cookie HTTP-only llamada itam_session.</w:t>
      </w:r>
    </w:p>
    <w:p>
      <w:pPr>
        <w:pStyle w:val="List"/>
        <w:spacing w:after="120"/>
      </w:pPr>
      <w:r>
        <w:t xml:space="preserve">Cerrar sesión desde el encabezado al finalizar el trabajo.</w:t>
      </w:r>
    </w:p>
    <w:p>
      <w:pPr>
        <w:pStyle w:val="Normal"/>
        <w:spacing w:after="120"/>
      </w:pPr>
      <w:r>
        <w:t xml:space="preserve">La sesión tiene expiración absoluta y control de inactividad. Los valores por defecto documentados son 60 minutos de inactividad y una advertencia 5 minutos antes, aunque los valores productivos deben validarse en la configuración del servidor.</w:t>
      </w:r>
    </w:p>
    <w:tbl>
      <w:tblPr>
        <w:tblW w:w="0" w:type="auto"/>
        <w:tblBorders>
          <w:top w:val="single" w:sz="4" w:color="CBD3DF"/>
          <w:left w:val="single" w:sz="4" w:color="CBD3DF"/>
          <w:bottom w:val="single" w:sz="4" w:color="CBD3DF"/>
          <w:right w:val="single" w:sz="4" w:color="CBD3DF"/>
          <w:insideH w:val="single" w:sz="4" w:color="CBD3DF"/>
          <w:insideV w:val="single" w:sz="4" w:color="CBD3DF"/>
        </w:tblBorders>
      </w:tblPr>
      <w:tblGrid>
        <w:gridCol w:w="2000"/>
        <w:gridCol w:w="2000"/>
        <w:gridCol w:w="2000"/>
      </w:tblGrid>
      <w:tr>
        <w:tc>
          <w:tcPr>
            <w:tcW w:w="2000" w:type="auto"/>
          </w:tcPr>
          <w:p>
            <w:pPr>
              <w:spacing w:after="0"/>
            </w:pPr>
            <w:r>
              <w:shd w:fill="E9F0FA"/>
              <w:rPr>
                <w:b/>
              </w:rPr>
              <w:t xml:space="preserve">Perfil</w:t>
            </w:r>
          </w:p>
        </w:tc>
        <w:tc>
          <w:tcPr>
            <w:tcW w:w="2000" w:type="auto"/>
          </w:tcPr>
          <w:p>
            <w:pPr>
              <w:spacing w:after="0"/>
            </w:pPr>
            <w:r>
              <w:shd w:fill="E9F0FA"/>
              <w:rPr>
                <w:b/>
              </w:rPr>
              <w:t xml:space="preserve">Uso confirmado</w:t>
            </w:r>
          </w:p>
        </w:tc>
        <w:tc>
          <w:tcPr>
            <w:tcW w:w="2000" w:type="auto"/>
          </w:tcPr>
          <w:p>
            <w:pPr>
              <w:spacing w:after="0"/>
            </w:pPr>
            <w:r>
              <w:shd w:fill="E9F0FA"/>
              <w:rPr>
                <w:b/>
              </w:rPr>
              <w:t xml:space="preserve">Restricción</w:t>
            </w:r>
          </w:p>
        </w:tc>
      </w:tr>
      <w:tr>
        <w:tc>
          <w:tcPr>
            <w:tcW w:w="2000" w:type="auto"/>
          </w:tcPr>
          <w:p>
            <w:pPr>
              <w:spacing w:after="0"/>
            </w:pPr>
            <w:r>
              <w:t xml:space="preserve">SUPER_USUARIO</w:t>
            </w:r>
          </w:p>
        </w:tc>
        <w:tc>
          <w:tcPr>
            <w:tcW w:w="2000" w:type="auto"/>
          </w:tcPr>
          <w:p>
            <w:pPr>
              <w:spacing w:after="0"/>
            </w:pPr>
            <w:r>
              <w:t xml:space="preserve">Administración de usuarios y todas las operaciones autorizadas</w:t>
            </w:r>
          </w:p>
        </w:tc>
        <w:tc>
          <w:tcPr>
            <w:tcW w:w="2000" w:type="auto"/>
          </w:tcPr>
          <w:p>
            <w:pPr>
              <w:spacing w:after="0"/>
            </w:pPr>
            <w:r>
              <w:t xml:space="preserve">Requiere controles de seguridad y auditoría</w:t>
            </w:r>
          </w:p>
        </w:tc>
      </w:tr>
      <w:tr>
        <w:tc>
          <w:tcPr>
            <w:tcW w:w="2000" w:type="auto"/>
          </w:tcPr>
          <w:p>
            <w:pPr>
              <w:spacing w:after="0"/>
            </w:pPr>
            <w:r>
              <w:t xml:space="preserve">USUARIO</w:t>
            </w:r>
          </w:p>
        </w:tc>
        <w:tc>
          <w:tcPr>
            <w:tcW w:w="2000" w:type="auto"/>
          </w:tcPr>
          <w:p>
            <w:pPr>
              <w:spacing w:after="0"/>
            </w:pPr>
            <w:r>
              <w:t xml:space="preserve">Operación normal de inventario y módulos de negocio</w:t>
            </w:r>
          </w:p>
        </w:tc>
        <w:tc>
          <w:tcPr>
            <w:tcW w:w="2000" w:type="auto"/>
          </w:tcPr>
          <w:p>
            <w:pPr>
              <w:spacing w:after="0"/>
            </w:pPr>
            <w:r>
              <w:t xml:space="preserve">No administra usuarios ni configura alertas de stock</w:t>
            </w:r>
          </w:p>
        </w:tc>
      </w:tr>
      <w:tr>
        <w:tc>
          <w:tcPr>
            <w:tcW w:w="2000" w:type="auto"/>
          </w:tcPr>
          <w:p>
            <w:pPr>
              <w:spacing w:after="0"/>
            </w:pPr>
            <w:r>
              <w:t xml:space="preserve">SOLO_LECTURA</w:t>
            </w:r>
          </w:p>
        </w:tc>
        <w:tc>
          <w:tcPr>
            <w:tcW w:w="2000" w:type="auto"/>
          </w:tcPr>
          <w:p>
            <w:pPr>
              <w:spacing w:after="0"/>
            </w:pPr>
            <w:r>
              <w:t xml:space="preserve">Consulta de información</w:t>
            </w:r>
          </w:p>
        </w:tc>
        <w:tc>
          <w:tcPr>
            <w:tcW w:w="2000" w:type="auto"/>
          </w:tcPr>
          <w:p>
            <w:pPr>
              <w:spacing w:after="0"/>
            </w:pPr>
            <w:r>
              <w:t xml:space="preserve">No puede ejecutar POST, PUT, PATCH ni DELETE; tampoco debe ver acciones de cambio</w:t>
            </w:r>
          </w:p>
        </w:tc>
      </w:tr>
    </w:tbl>
    <w:p>
      <w:pPr>
        <w:pStyle w:val="Normal"/>
        <w:spacing w:after="120"/>
      </w:pPr>
      <w:r>
        <w:t xml:space="preserve">La restricción de solo lectura se aplica en el backend mediante rejectReadOnlyMutations y en el frontend mediante writeGuard y ocultamiento de acciones. La migración 035_read_only_user_role.sql permite guardar el perfil en PostgreSQL.</w:t>
      </w:r>
    </w:p>
    <w:p>
      <w:pPr>
        <w:pStyle w:val="Normal"/>
        <w:spacing w:after="120"/>
      </w:pPr>
      <w:r>
        <w:t xml:space="preserve">Las pantallas reales observadas son:</w:t>
      </w:r>
    </w:p>
    <w:p>
      <w:pPr>
        <w:pStyle w:val="List"/>
        <w:spacing w:after="120"/>
      </w:pPr>
      <w:r>
        <w:t xml:space="preserve">â€¢ Dashboard.</w:t>
      </w:r>
    </w:p>
    <w:p>
      <w:pPr>
        <w:pStyle w:val="List"/>
        <w:spacing w:after="120"/>
      </w:pPr>
      <w:r>
        <w:t xml:space="preserve">â€¢ Inventario y detalle de dispositivos.</w:t>
      </w:r>
    </w:p>
    <w:p>
      <w:pPr>
        <w:pStyle w:val="List"/>
        <w:spacing w:after="120"/>
      </w:pPr>
      <w:r>
        <w:t xml:space="preserve">â€¢ Colaboradores y detalle de inventario por persona.</w:t>
      </w:r>
    </w:p>
    <w:p>
      <w:pPr>
        <w:pStyle w:val="List"/>
        <w:spacing w:after="120"/>
      </w:pPr>
      <w:r>
        <w:t xml:space="preserve">â€¢ Departamentos y detalle de inventario departamental.</w:t>
      </w:r>
    </w:p>
    <w:p>
      <w:pPr>
        <w:pStyle w:val="List"/>
        <w:spacing w:after="120"/>
      </w:pPr>
      <w:r>
        <w:t xml:space="preserve">â€¢ Tarjetas SIM y líneas móviles.</w:t>
      </w:r>
    </w:p>
    <w:p>
      <w:pPr>
        <w:pStyle w:val="List"/>
        <w:spacing w:after="120"/>
      </w:pPr>
      <w:r>
        <w:t xml:space="preserve">â€¢ Estados, tipos de dispositivo y familias de códigos.</w:t>
      </w:r>
    </w:p>
    <w:p>
      <w:pPr>
        <w:pStyle w:val="List"/>
        <w:spacing w:after="120"/>
      </w:pPr>
      <w:r>
        <w:t xml:space="preserve">â€¢ Alertas de stock.</w:t>
      </w:r>
    </w:p>
    <w:p>
      <w:pPr>
        <w:pStyle w:val="List"/>
        <w:spacing w:after="120"/>
      </w:pPr>
      <w:r>
        <w:t xml:space="preserve">â€¢ Offboarding o salida de personal.</w:t>
      </w:r>
    </w:p>
    <w:p>
      <w:pPr>
        <w:pStyle w:val="List"/>
        <w:spacing w:after="120"/>
      </w:pPr>
      <w:r>
        <w:t xml:space="preserve">â€¢ Servicio técnico.</w:t>
      </w:r>
    </w:p>
    <w:p>
      <w:pPr>
        <w:pStyle w:val="List"/>
        <w:spacing w:after="120"/>
      </w:pPr>
      <w:r>
        <w:t xml:space="preserve">â€¢ Actas y comprobantes.</w:t>
      </w:r>
    </w:p>
    <w:p>
      <w:pPr>
        <w:pStyle w:val="List"/>
        <w:spacing w:after="120"/>
      </w:pPr>
      <w:r>
        <w:t xml:space="preserve">â€¢ Reportes.</w:t>
      </w:r>
    </w:p>
    <w:p>
      <w:pPr>
        <w:pStyle w:val="List"/>
        <w:spacing w:after="120"/>
      </w:pPr>
      <w:r>
        <w:t xml:space="preserve">â€¢ Administración de usuarios, solo para SUPER_USUARIO.</w:t>
      </w:r>
    </w:p>
    <w:p>
      <w:pPr>
        <w:pStyle w:val="List"/>
        <w:spacing w:after="120"/>
      </w:pPr>
      <w:r>
        <w:t xml:space="preserve">â€¢ Mi acceso.</w:t>
      </w:r>
    </w:p>
    <w:p>
      <w:pPr>
        <w:pStyle w:val="List"/>
        <w:spacing w:after="120"/>
      </w:pPr>
      <w:r>
        <w:t xml:space="preserve">Buscar o abrir un dispositivo desde Inventario.</w:t>
      </w:r>
    </w:p>
    <w:p>
      <w:pPr>
        <w:pStyle w:val="List"/>
        <w:spacing w:after="120"/>
      </w:pPr>
      <w:r>
        <w:t xml:space="preserve">Revisar código ITAM, tipo, marca, modelo, identificadores, estado, valor comercial, custodia, historial y verificaciones físicas.</w:t>
      </w:r>
    </w:p>
    <w:p>
      <w:pPr>
        <w:pStyle w:val="List"/>
        <w:spacing w:after="120"/>
      </w:pPr>
      <w:r>
        <w:t xml:space="preserve">Según el perfil y las reglas del activo, registrar entrega a colaborador, entrega a departamento, devolución, recuperación, cambio de estado, baja, verificación física o envío a servicio técnico.</w:t>
      </w:r>
    </w:p>
    <w:p>
      <w:pPr>
        <w:pStyle w:val="List"/>
        <w:spacing w:after="120"/>
      </w:pPr>
      <w:r>
        <w:t xml:space="preserve">Revisar el historial posterior a cada operación.</w:t>
      </w:r>
    </w:p>
    <w:p>
      <w:pPr>
        <w:pStyle w:val="Normal"/>
        <w:spacing w:after="120"/>
      </w:pPr>
      <w:r>
        <w:t xml:space="preserve">El código ITAM es generado por el backend, es único y no se cambia desde el frontend. IMEI y número de serie tienen validaciones de duplicidad cuando aplican.</w:t>
      </w:r>
    </w:p>
    <w:p>
      <w:pPr>
        <w:pStyle w:val="Normal"/>
        <w:spacing w:after="120"/>
      </w:pPr>
      <w:r>
        <w:t xml:space="preserve">La SIM, el dispositivo y la línea telefónica son entidades separadas. Se puede consultar historial de SIM, asociar una línea a un dispositivo y registrar o actualizar el número según las reglas del módulo. Registrar una línea no equivale a realizar una verificación física.</w:t>
      </w:r>
    </w:p>
    <w:p>
      <w:pPr>
        <w:pStyle w:val="Normal"/>
        <w:spacing w:after="120"/>
      </w:pPr>
      <w:r>
        <w:t xml:space="preserve">Un dispositivo puede estar bajo custodia de un colaborador, un departamento o sin custodio, pero no puede tener dos custodias vigentes. La devolución registra el resultado y la condición y conserva la trazabilidad.</w:t>
      </w:r>
    </w:p>
    <w:p>
      <w:pPr>
        <w:pStyle w:val="Normal"/>
        <w:spacing w:after="120"/>
      </w:pPr>
      <w:r>
        <w:t xml:space="preserve">El módulo de actas lista actas, permite consultar el detalle y generar PDF. El módulo de comprobantes permite consultar comprobantes y generar su PDF. Los documentos deben revisarse antes de imprimirlos o archivarlos.</w:t>
      </w:r>
    </w:p>
    <w:p>
      <w:pPr>
        <w:pStyle w:val="Normal"/>
        <w:spacing w:after="120"/>
      </w:pPr>
      <w:r>
        <w:t xml:space="preserve">El flujo observado comprende creación de orden, envío, diagnóstico o cotización, decisión, archivo de cotización, equipo temporal, cierre y retorno. No se deben abrir dos órdenes técnicas para el mismo dispositivo.</w:t>
      </w:r>
    </w:p>
    <w:p>
      <w:pPr>
        <w:pStyle w:val="List"/>
        <w:spacing w:after="120"/>
      </w:pPr>
      <w:r>
        <w:t xml:space="preserve">Buscar al colaborador.</w:t>
      </w:r>
    </w:p>
    <w:p>
      <w:pPr>
        <w:pStyle w:val="List"/>
        <w:spacing w:after="120"/>
      </w:pPr>
      <w:r>
        <w:t xml:space="preserve">Revisar equipos pendientes y proceso abierto.</w:t>
      </w:r>
    </w:p>
    <w:p>
      <w:pPr>
        <w:pStyle w:val="List"/>
        <w:spacing w:after="120"/>
      </w:pPr>
      <w:r>
        <w:t xml:space="preserve">Abrir el proceso de salida.</w:t>
      </w:r>
    </w:p>
    <w:p>
      <w:pPr>
        <w:pStyle w:val="List"/>
        <w:spacing w:after="120"/>
      </w:pPr>
      <w:r>
        <w:t xml:space="preserve">Registrar devoluciones o resultados pendientes.</w:t>
      </w:r>
    </w:p>
    <w:p>
      <w:pPr>
        <w:pStyle w:val="List"/>
        <w:spacing w:after="120"/>
      </w:pPr>
      <w:r>
        <w:t xml:space="preserve">Cerrar el proceso cuando la situación esté resuelta.</w:t>
      </w:r>
    </w:p>
    <w:p>
      <w:pPr>
        <w:pStyle w:val="Normal"/>
        <w:spacing w:after="120"/>
      </w:pPr>
      <w:r>
        <w:t xml:space="preserve">Un colaborador no debe tener más de un proceso de offboarding abierto.</w:t>
      </w:r>
    </w:p>
    <w:tbl>
      <w:tblPr>
        <w:tblW w:w="0" w:type="auto"/>
        <w:tblBorders>
          <w:top w:val="single" w:sz="4" w:color="CBD3DF"/>
          <w:left w:val="single" w:sz="4" w:color="CBD3DF"/>
          <w:bottom w:val="single" w:sz="4" w:color="CBD3DF"/>
          <w:right w:val="single" w:sz="4" w:color="CBD3DF"/>
          <w:insideH w:val="single" w:sz="4" w:color="CBD3DF"/>
          <w:insideV w:val="single" w:sz="4" w:color="CBD3DF"/>
        </w:tblBorders>
      </w:tblPr>
      <w:tblGrid>
        <w:gridCol w:w="2000"/>
        <w:gridCol w:w="2000"/>
        <w:gridCol w:w="2000"/>
      </w:tblGrid>
      <w:tr>
        <w:tc>
          <w:tcPr>
            <w:tcW w:w="2000" w:type="auto"/>
          </w:tcPr>
          <w:p>
            <w:pPr>
              <w:spacing w:after="0"/>
            </w:pPr>
            <w:r>
              <w:shd w:fill="E9F0FA"/>
              <w:rPr>
                <w:b/>
              </w:rPr>
              <w:t xml:space="preserve">Dato</w:t>
            </w:r>
          </w:p>
        </w:tc>
        <w:tc>
          <w:tcPr>
            <w:tcW w:w="2000" w:type="auto"/>
          </w:tcPr>
          <w:p>
            <w:pPr>
              <w:spacing w:after="0"/>
            </w:pPr>
            <w:r>
              <w:shd w:fill="E9F0FA"/>
              <w:rPr>
                <w:b/>
              </w:rPr>
              <w:t xml:space="preserve">Fuente</w:t>
            </w:r>
          </w:p>
        </w:tc>
        <w:tc>
          <w:tcPr>
            <w:tcW w:w="2000" w:type="auto"/>
          </w:tcPr>
          <w:p>
            <w:pPr>
              <w:spacing w:after="0"/>
            </w:pPr>
            <w:r>
              <w:shd w:fill="E9F0FA"/>
              <w:rPr>
                <w:b/>
              </w:rPr>
              <w:t xml:space="preserve">Estado</w:t>
            </w:r>
          </w:p>
        </w:tc>
      </w:tr>
      <w:tr>
        <w:tc>
          <w:tcPr>
            <w:tcW w:w="2000" w:type="auto"/>
          </w:tcPr>
          <w:p>
            <w:pPr>
              <w:spacing w:after="0"/>
            </w:pPr>
            <w:r>
              <w:t xml:space="preserve">Pantallas y rutas</w:t>
            </w:r>
          </w:p>
        </w:tc>
        <w:tc>
          <w:tcPr>
            <w:tcW w:w="2000" w:type="auto"/>
          </w:tcPr>
          <w:p>
            <w:pPr>
              <w:spacing w:after="0"/>
            </w:pPr>
            <w:r>
              <w:t xml:space="preserve">frontend/src/app/app.routes.ts</w:t>
            </w:r>
          </w:p>
        </w:tc>
        <w:tc>
          <w:tcPr>
            <w:tcW w:w="2000" w:type="auto"/>
          </w:tcPr>
          <w:p>
            <w:pPr>
              <w:spacing w:after="0"/>
            </w:pPr>
            <w:r>
              <w:t xml:space="preserve">Confirmado</w:t>
            </w:r>
          </w:p>
        </w:tc>
      </w:tr>
      <w:tr>
        <w:tc>
          <w:tcPr>
            <w:tcW w:w="2000" w:type="auto"/>
          </w:tcPr>
          <w:p>
            <w:pPr>
              <w:spacing w:after="0"/>
            </w:pPr>
            <w:r>
              <w:t xml:space="preserve">Perfiles</w:t>
            </w:r>
          </w:p>
        </w:tc>
        <w:tc>
          <w:tcPr>
            <w:tcW w:w="2000" w:type="auto"/>
          </w:tcPr>
          <w:p>
            <w:pPr>
              <w:spacing w:after="0"/>
            </w:pPr>
            <w:r>
              <w:t xml:space="preserve">backend/src/shared/auth-context.ts, frontend/src/app/core/models/auth.models.ts</w:t>
            </w:r>
          </w:p>
        </w:tc>
        <w:tc>
          <w:tcPr>
            <w:tcW w:w="2000" w:type="auto"/>
          </w:tcPr>
          <w:p>
            <w:pPr>
              <w:spacing w:after="0"/>
            </w:pPr>
            <w:r>
              <w:t xml:space="preserve">Confirmado</w:t>
            </w:r>
          </w:p>
        </w:tc>
      </w:tr>
      <w:tr>
        <w:tc>
          <w:tcPr>
            <w:tcW w:w="2000" w:type="auto"/>
          </w:tcPr>
          <w:p>
            <w:pPr>
              <w:spacing w:after="0"/>
            </w:pPr>
            <w:r>
              <w:t xml:space="preserve">Bloqueo de mutaciones para solo lectura</w:t>
            </w:r>
          </w:p>
        </w:tc>
        <w:tc>
          <w:tcPr>
            <w:tcW w:w="2000" w:type="auto"/>
          </w:tcPr>
          <w:p>
            <w:pPr>
              <w:spacing w:after="0"/>
            </w:pPr>
            <w:r>
              <w:t xml:space="preserve">backend/src/shared/auth.middleware.ts</w:t>
            </w:r>
          </w:p>
        </w:tc>
        <w:tc>
          <w:tcPr>
            <w:tcW w:w="2000" w:type="auto"/>
          </w:tcPr>
          <w:p>
            <w:pPr>
              <w:spacing w:after="0"/>
            </w:pPr>
            <w:r>
              <w:t xml:space="preserve">Confirmado</w:t>
            </w:r>
          </w:p>
        </w:tc>
      </w:tr>
      <w:tr>
        <w:tc>
          <w:tcPr>
            <w:tcW w:w="2000" w:type="auto"/>
          </w:tcPr>
          <w:p>
            <w:pPr>
              <w:spacing w:after="0"/>
            </w:pPr>
            <w:r>
              <w:t xml:space="preserve">Flujos de negocio</w:t>
            </w:r>
          </w:p>
        </w:tc>
        <w:tc>
          <w:tcPr>
            <w:tcW w:w="2000" w:type="auto"/>
          </w:tcPr>
          <w:p>
            <w:pPr>
              <w:spacing w:after="0"/>
            </w:pPr>
            <w:r>
              <w:t xml:space="preserve">docs/arquitectura/REGLAS_DE_NEGOCIO.md, módulos fuente</w:t>
            </w:r>
          </w:p>
        </w:tc>
        <w:tc>
          <w:tcPr>
            <w:tcW w:w="2000" w:type="auto"/>
          </w:tcPr>
          <w:p>
            <w:pPr>
              <w:spacing w:after="0"/>
            </w:pPr>
            <w:r>
              <w:t xml:space="preserve">Confirmado</w:t>
            </w:r>
          </w:p>
        </w:tc>
      </w:tr>
      <w:tr>
        <w:tc>
          <w:tcPr>
            <w:tcW w:w="2000" w:type="auto"/>
          </w:tcPr>
          <w:p>
            <w:pPr>
              <w:spacing w:after="0"/>
            </w:pPr>
            <w:r>
              <w:t xml:space="preserve">Prueba completa con usuarios productivos</w:t>
            </w:r>
          </w:p>
        </w:tc>
        <w:tc>
          <w:tcPr>
            <w:tcW w:w="2000" w:type="auto"/>
          </w:tcPr>
          <w:p>
            <w:pPr>
              <w:spacing w:after="0"/>
            </w:pPr>
            <w:r>
              <w:t xml:space="preserve">No ejecutada durante esta recopilación</w:t>
            </w:r>
          </w:p>
        </w:tc>
        <w:tc>
          <w:tcPr>
            <w:tcW w:w="2000" w:type="auto"/>
          </w:tcPr>
          <w:p>
            <w:pPr>
              <w:spacing w:after="0"/>
            </w:pPr>
            <w:r>
              <w:t xml:space="preserve">Pendiente de validar con Codex</w:t>
            </w:r>
          </w:p>
        </w:tc>
      </w:tr>
    </w:tbl>
    <w:p>
      <w:pPr>
        <w:pStyle w:val="Footer"/>
        <w:spacing w:after="120"/>
        <w:jc w:val="center"/>
      </w:pPr>
      <w:r>
        <w:t xml:space="preserve">Aguas San Isidro | Documentacion tecnica y operativa</w:t>
      </w:r>
    </w:p>
    <w:sectPr>
      <w:pgSz w:w="11906" w:h="16838"/>
      <w:pgMar w:top="1020" w:right="1020" w:bottom="850" w:left="102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color w:val="101B39"/>
    </w:rPr>
  </w:style>
  <w:style w:type="paragraph" w:styleId="Title">
    <w:name w:val="Title"/>
    <w:basedOn w:val="Normal"/>
    <w:pPr>
      <w:jc w:val="center"/>
    </w:pPr>
    <w:rPr>
      <w:rFonts w:ascii="Arial" w:hAnsi="Arial"/>
      <w:b/>
      <w:sz w:val="44"/>
      <w:color w:val="001B5E"/>
    </w:rPr>
  </w:style>
  <w:style w:type="paragraph" w:styleId="Subtitle">
    <w:name w:val="Subtitle"/>
    <w:basedOn w:val="Normal"/>
    <w:pPr>
      <w:jc w:val="center"/>
    </w:pPr>
    <w:rPr>
      <w:rFonts w:ascii="Arial" w:hAnsi="Arial"/>
      <w:b/>
      <w:sz w:val="36"/>
      <w:color w:val="001B5E"/>
    </w:rPr>
  </w:style>
  <w:style w:type="paragraph" w:styleId="Heading1">
    <w:name w:val="Heading 1"/>
    <w:basedOn w:val="Normal"/>
    <w:next w:val="Normal"/>
    <w:rPr>
      <w:b/>
      <w:sz w:val="30"/>
      <w:color w:val="001B5E"/>
    </w:rPr>
  </w:style>
  <w:style w:type="paragraph" w:styleId="Heading2">
    <w:name w:val="Heading 2"/>
    <w:basedOn w:val="Normal"/>
    <w:rPr>
      <w:b/>
      <w:sz w:val="26"/>
      <w:color w:val="001B5E"/>
    </w:rPr>
  </w:style>
  <w:style w:type="paragraph" w:styleId="Heading3">
    <w:name w:val="Heading 3"/>
    <w:basedOn w:val="Normal"/>
    <w:rPr>
      <w:b/>
      <w:sz w:val="23"/>
      <w:color w:val="006B9B"/>
    </w:rPr>
  </w:style>
  <w:style w:type="paragraph" w:styleId="List">
    <w:name w:val="List"/>
    <w:basedOn w:val="Normal"/>
    <w:pPr>
      <w:ind w:left="360"/>
    </w:pPr>
  </w:style>
  <w:style w:type="paragraph" w:styleId="Code">
    <w:name w:val="Code"/>
    <w:basedOn w:val="Normal"/>
    <w:rPr>
      <w:rFonts w:ascii="Consolas" w:hAnsi="Consolas"/>
      <w:sz w:val="17"/>
    </w:rPr>
  </w:style>
  <w:style w:type="paragraph" w:styleId="Footer">
    <w:name w:val="Footer"/>
    <w:basedOn w:val="Normal"/>
    <w:pPr>
      <w:jc w:val="center"/>
    </w:pPr>
    <w:rPr>
      <w:sz w:val="16"/>
      <w:color w:val="77849A"/>
    </w:rPr>
  </w:style>
</w:styles>
</file>

<file path=word/_rels/document.xml.rels><?xml version="1.0" encoding="UTF-8" standalone="yes"?><Relationships xmlns="http://schemas.openxmlformats.org/package/2006/relationships"><Relationship Id="rIdImage" Type="http://schemas.openxmlformats.org/officeDocument/2006/relationships/image" Target="media/image1.jpg"/></Relationships>
</file>