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1600000" cy="1600000"/>
            <wp:docPr id="1" name="Aguas San Isidro logo"/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20"/>
        <w:jc w:val="center"/>
      </w:pPr>
      <w:r>
        <w:t xml:space="preserve">Aguas San Isidro</w:t>
      </w:r>
    </w:p>
    <w:p>
      <w:pPr>
        <w:pStyle w:val="Subtitle"/>
        <w:spacing w:after="120"/>
        <w:jc w:val="center"/>
      </w:pPr>
      <w:r>
        <w:t xml:space="preserve">Procedimientos Operativos y Tecnicos</w:t>
      </w:r>
    </w:p>
    <w:p>
      <w:pPr>
        <w:pStyle w:val="Normal"/>
        <w:spacing w:after="120"/>
        <w:jc w:val="center"/>
      </w:pPr>
      <w:r>
        <w:t xml:space="preserve">Documentacion tecnica y operativa</w:t>
      </w:r>
    </w:p>
    <w:p>
      <w:pPr>
        <w:pStyle w:val="Normal"/>
        <w:spacing w:after="120"/>
        <w:jc w:val="center"/>
      </w:pPr>
      <w:r>
        <w:t xml:space="preserve">Documento preparado a partir de evidencia verificable del repositorio y de la sesion autorizada.</w:t>
      </w:r>
    </w:p>
    <w:p>
      <w:pPr>
        <w:pStyle w:val="Normal"/>
        <w:spacing w:after="120"/>
        <w:jc w:val="center"/>
      </w:pPr>
      <w:r>
        <w:t xml:space="preserve">Fecha de consulta: 02 de octubre de 2026</w:t>
      </w:r>
    </w:p>
    <w:p>
      <w:r>
        <w:br w:type="page"/>
      </w:r>
    </w:p>
    <w:p>
      <w:pPr>
        <w:pStyle w:val="Heading1"/>
        <w:spacing w:after="120"/>
      </w:pPr>
      <w:r>
        <w:t xml:space="preserve">Indice</w:t>
      </w:r>
    </w:p>
    <w:p>
      <w:pPr>
        <w:pStyle w:val="Heading2"/>
        <w:spacing w:after="120"/>
      </w:pPr>
      <w:r>
        <w:t xml:space="preserve">Propósito y límite</w:t>
      </w:r>
    </w:p>
    <w:p>
      <w:pPr>
        <w:pStyle w:val="Heading2"/>
        <w:spacing w:after="120"/>
      </w:pPr>
      <w:r>
        <w:t xml:space="preserve">Publicación de una versión</w:t>
      </w:r>
    </w:p>
    <w:p>
      <w:pPr>
        <w:pStyle w:val="Heading2"/>
        <w:spacing w:after="120"/>
      </w:pPr>
      <w:r>
        <w:t xml:space="preserve">Rollback implementado</w:t>
      </w:r>
    </w:p>
    <w:p>
      <w:pPr>
        <w:pStyle w:val="Heading2"/>
        <w:spacing w:after="120"/>
      </w:pPr>
      <w:r>
        <w:t xml:space="preserve">Operación de inventario</w:t>
      </w:r>
    </w:p>
    <w:p>
      <w:pPr>
        <w:pStyle w:val="Heading3"/>
        <w:spacing w:after="120"/>
      </w:pPr>
      <w:r>
        <w:t xml:space="preserve">Alta y edición</w:t>
      </w:r>
    </w:p>
    <w:p>
      <w:pPr>
        <w:pStyle w:val="Heading3"/>
        <w:spacing w:after="120"/>
      </w:pPr>
      <w:r>
        <w:t xml:space="preserve">Asignación y devolución</w:t>
      </w:r>
    </w:p>
    <w:p>
      <w:pPr>
        <w:pStyle w:val="Heading3"/>
        <w:spacing w:after="120"/>
      </w:pPr>
      <w:r>
        <w:t xml:space="preserve">Verificación física</w:t>
      </w:r>
    </w:p>
    <w:p>
      <w:pPr>
        <w:pStyle w:val="Heading3"/>
        <w:spacing w:after="120"/>
      </w:pPr>
      <w:r>
        <w:t xml:space="preserve">Servicio técnico</w:t>
      </w:r>
    </w:p>
    <w:p>
      <w:pPr>
        <w:pStyle w:val="Heading3"/>
        <w:spacing w:after="120"/>
      </w:pPr>
      <w:r>
        <w:t xml:space="preserve">Offboarding</w:t>
      </w:r>
    </w:p>
    <w:p>
      <w:pPr>
        <w:pStyle w:val="Heading2"/>
        <w:spacing w:after="120"/>
      </w:pPr>
      <w:r>
        <w:t xml:space="preserve">Diagnóstico seguro</w:t>
      </w:r>
    </w:p>
    <w:p>
      <w:pPr>
        <w:pStyle w:val="Heading2"/>
        <w:spacing w:after="120"/>
      </w:pPr>
      <w:r>
        <w:t xml:space="preserve">Evidencia y pendientes</w:t>
      </w:r>
    </w:p>
    <w:p>
      <w:r>
        <w:br w:type="page"/>
      </w:r>
    </w:p>
    <w:p>
      <w:pPr>
        <w:pStyle w:val="Normal"/>
        <w:spacing w:after="120"/>
      </w:pPr>
      <w:r>
        <w:t xml:space="preserve">Este documento consolida procedimientos que están implementados o descritos por el repositorio. No constituye autorización para ejecutar migraciones, reinicios, cambios de firewall, cambios DNS ni modificaciones de datos.</w:t>
      </w:r>
    </w:p>
    <w:p>
      <w:pPr>
        <w:pStyle w:val="Normal"/>
        <w:spacing w:after="120"/>
      </w:pPr>
      <w:r>
        <w:t xml:space="preserve">El procedimiento automatizado observado es:</w:t>
      </w:r>
    </w:p>
    <w:p>
      <w:pPr>
        <w:pStyle w:val="List"/>
        <w:spacing w:after="120"/>
      </w:pPr>
      <w:r>
        <w:t xml:space="preserve">Publicar un commit en main.</w:t>
      </w:r>
    </w:p>
    <w:p>
      <w:pPr>
        <w:pStyle w:val="List"/>
        <w:spacing w:after="120"/>
      </w:pPr>
      <w:r>
        <w:t xml:space="preserve">CI descarga el commit y compila backend y frontend con Node.js 24.</w:t>
      </w:r>
    </w:p>
    <w:p>
      <w:pPr>
        <w:pStyle w:val="List"/>
        <w:spacing w:after="120"/>
      </w:pPr>
      <w:r>
        <w:t xml:space="preserve">CD toma el commit validado y calcula un identificador de release con los primeros siete caracteres del SHA.</w:t>
      </w:r>
    </w:p>
    <w:p>
      <w:pPr>
        <w:pStyle w:val="List"/>
        <w:spacing w:after="120"/>
      </w:pPr>
      <w:r>
        <w:t xml:space="preserve">Se genera un artefacto backend con dist, package.json, package-lock.json y la migración 035; se genera otro artefacto con el frontend estático.</w:t>
      </w:r>
    </w:p>
    <w:p>
      <w:pPr>
        <w:pStyle w:val="List"/>
        <w:spacing w:after="120"/>
      </w:pPr>
      <w:r>
        <w:t xml:space="preserve">GitHub Actions se conecta por SSH y transfiere ambos artefactos a /tmp/.</w:t>
      </w:r>
    </w:p>
    <w:p>
      <w:pPr>
        <w:pStyle w:val="List"/>
        <w:spacing w:after="120"/>
      </w:pPr>
      <w:r>
        <w:t xml:space="preserve">El servidor crea /opt/itam/releases/&lt;release&gt; y extrae backend y frontend.</w:t>
      </w:r>
    </w:p>
    <w:p>
      <w:pPr>
        <w:pStyle w:val="List"/>
        <w:spacing w:after="120"/>
      </w:pPr>
      <w:r>
        <w:t xml:space="preserve">Se copia el .env del release anterior al nuevo release sin incluirlo en el artefacto.</w:t>
      </w:r>
    </w:p>
    <w:p>
      <w:pPr>
        <w:pStyle w:val="List"/>
        <w:spacing w:after="120"/>
      </w:pPr>
      <w:r>
        <w:t xml:space="preserve">Se ejecuta npm ci --omit=dev en backend.</w:t>
      </w:r>
    </w:p>
    <w:p>
      <w:pPr>
        <w:pStyle w:val="List"/>
        <w:spacing w:after="120"/>
      </w:pPr>
      <w:r>
        <w:t xml:space="preserve">Se ejecuta la migración 035 con psql y ON_ERROR_STOP=1.</w:t>
      </w:r>
    </w:p>
    <w:p>
      <w:pPr>
        <w:pStyle w:val="List"/>
        <w:spacing w:after="120"/>
      </w:pPr>
      <w:r>
        <w:t xml:space="preserve">Se inicia el backend con PM2 y se valida /api/v1/health.</w:t>
      </w:r>
    </w:p>
    <w:p>
      <w:pPr>
        <w:pStyle w:val="List"/>
        <w:spacing w:after="120"/>
      </w:pPr>
      <w:r>
        <w:t xml:space="preserve">Se actualiza el root de Nginx, se ejecuta nginx -t, se recarga Nginx y se ejecuta pm2 save.</w:t>
      </w:r>
    </w:p>
    <w:p>
      <w:pPr>
        <w:pStyle w:val="Normal"/>
        <w:spacing w:after="120"/>
      </w:pPr>
      <w:r>
        <w:t xml:space="preserve">La ejecución correspondiente al commit d98da12 terminó correctamente en GitHub Actions. La migración 035 viajó dentro del artefacto y el paso remoto de creación, actualización y validación terminó correctamente.</w:t>
      </w:r>
    </w:p>
    <w:p>
      <w:pPr>
        <w:pStyle w:val="Normal"/>
        <w:spacing w:after="120"/>
      </w:pPr>
      <w:r>
        <w:t xml:space="preserve">El CD conserva una copia de la configuración Nginx anterior en /var/backups/itam/. Si falla el health check del backend, elimina el proceso nuevo y vuelve a iniciar el proceso anterior. Si falla nginx -t, restaura la configuración anterior, recarga Nginx y restaura el backend anterior.</w:t>
      </w:r>
    </w:p>
    <w:p>
      <w:pPr>
        <w:pStyle w:val="Normal"/>
        <w:spacing w:after="120"/>
      </w:pPr>
      <w:r>
        <w:t xml:space="preserve">El rollback de base de datos no está implementado en el workflow. La migración 035 es idempotente respecto del registro de versión, pero la estrategia de rollback de datos debe aprobarse y documentarse antes de migraciones futuras.</w:t>
      </w:r>
    </w:p>
    <w:p>
      <w:pPr>
        <w:pStyle w:val="Normal"/>
        <w:spacing w:after="120"/>
      </w:pPr>
      <w:r>
        <w:t xml:space="preserve">Validar tipo, familia de código, identificadores, valor y atributos específicos. El código ITAM lo genera el backend. Los duplicados de IMEI y número de serie deben rechazarse cuando el campo aplica.</w:t>
      </w:r>
    </w:p>
    <w:p>
      <w:pPr>
        <w:pStyle w:val="Normal"/>
        <w:spacing w:after="120"/>
      </w:pPr>
      <w:r>
        <w:t xml:space="preserve">Verificar disponibilidad, custodio actual, receptor y condición. Cerrar la custodia anterior antes de crear una nueva. Registrar la devolución y revisar el historial.</w:t>
      </w:r>
    </w:p>
    <w:p>
      <w:pPr>
        <w:pStyle w:val="Normal"/>
        <w:spacing w:after="120"/>
      </w:pPr>
      <w:r>
        <w:t xml:space="preserve">Registrar resultado PENDIENTE, VERIFICADO o REVISAR con el identificador observado y las observaciones necesarias. Una línea móvil no sustituye esta verificación.</w:t>
      </w:r>
    </w:p>
    <w:p>
      <w:pPr>
        <w:pStyle w:val="Normal"/>
        <w:spacing w:after="120"/>
      </w:pPr>
      <w:r>
        <w:t xml:space="preserve">Crear la orden con equipo, falla, responsable y tipo de servicio. Registrar diagnóstico/cotización, decisión, archivo si corresponde, equipo temporal y cierre. No abrir una segunda orden técnica mientras exista una abierta.</w:t>
      </w:r>
    </w:p>
    <w:p>
      <w:pPr>
        <w:pStyle w:val="Normal"/>
        <w:spacing w:after="120"/>
      </w:pPr>
      <w:r>
        <w:t xml:space="preserve">Consultar procesos abiertos, iniciar el proceso por colaborador, registrar resultados de cada activo y cerrar solamente cuando la salida esté resuelta.</w:t>
      </w:r>
    </w:p>
    <w:p>
      <w:pPr>
        <w:pStyle w:val="Normal"/>
        <w:spacing w:after="120"/>
      </w:pPr>
      <w:r>
        <w:t xml:space="preserve">Rutas de health disponibles:</w:t>
      </w:r>
    </w:p>
    <w:p>
      <w:pPr>
        <w:pStyle w:val="Normal"/>
        <w:spacing w:after="120"/>
      </w:pPr>
      <w:r>
        <w:t xml:space="preserve">text</w:t>
      </w:r>
    </w:p>
    <w:p>
      <w:pPr>
        <w:pStyle w:val="Normal"/>
        <w:spacing w:after="120"/>
      </w:pPr>
      <w:r>
        <w:t xml:space="preserve">GET /api/v1/health</w:t>
      </w:r>
    </w:p>
    <w:p>
      <w:pPr>
        <w:pStyle w:val="Normal"/>
        <w:spacing w:after="120"/>
      </w:pPr>
      <w:r>
        <w:t xml:space="preserve">GET /api/v1/health/database</w:t>
      </w:r>
    </w:p>
    <w:p>
      <w:pPr>
        <w:pStyle w:val="Code"/>
        <w:spacing w:after="120"/>
      </w:pPr>
      <w:r>
        <w:t xml:space="preserve"/>
      </w:r>
    </w:p>
    <w:p>
      <w:pPr>
        <w:pStyle w:val="Code"/>
        <w:spacing w:after="120"/>
      </w:pPr>
      <w:r>
        <w:t xml:space="preserve">El primer endpoint valida el proceso API. El segundo valida la conexión PostgreSQL. Ambos son públicos según `backend/src/app.ts`, pero no deben usarse para inferir que el login o todos los módulos funcionan.</w:t>
      </w:r>
    </w:p>
    <w:p>
      <w:pPr>
        <w:pStyle w:val="Code"/>
        <w:spacing w:after="120"/>
      </w:pPr>
      <w:r>
        <w:t xml:space="preserve"/>
      </w:r>
    </w:p>
    <w:p>
      <w:pPr>
        <w:pStyle w:val="Code"/>
        <w:spacing w:after="120"/>
      </w:pPr>
      <w:r>
        <w:t xml:space="preserve">## Evidencia y pendientes</w:t>
      </w:r>
    </w:p>
    <w:p>
      <w:pPr>
        <w:pStyle w:val="Code"/>
        <w:spacing w:after="120"/>
      </w:pPr>
      <w:r>
        <w:t xml:space="preserve"/>
      </w:r>
    </w:p>
    <w:p>
      <w:pPr>
        <w:pStyle w:val="Code"/>
        <w:spacing w:after="120"/>
      </w:pPr>
      <w:r>
        <w:t xml:space="preserve">| Control | Evidencia | Estado |</w:t>
      </w:r>
    </w:p>
    <w:p>
      <w:pPr>
        <w:pStyle w:val="Code"/>
        <w:spacing w:after="120"/>
      </w:pPr>
      <w:r>
        <w:t xml:space="preserve">| --- | --- | --- |</w:t>
      </w:r>
    </w:p>
    <w:p>
      <w:pPr>
        <w:pStyle w:val="Code"/>
        <w:spacing w:after="120"/>
      </w:pPr>
      <w:r>
        <w:t xml:space="preserve">| CI del release | GitHub Actions, commit `d98da12` | Confirmado |</w:t>
      </w:r>
    </w:p>
    <w:p>
      <w:pPr>
        <w:pStyle w:val="Code"/>
        <w:spacing w:after="120"/>
      </w:pPr>
      <w:r>
        <w:t xml:space="preserve">| CD del release | GitHub Actions, job de despliegue exitoso | Confirmado |</w:t>
      </w:r>
    </w:p>
    <w:p>
      <w:pPr>
        <w:pStyle w:val="Code"/>
        <w:spacing w:after="120"/>
      </w:pPr>
      <w:r>
        <w:t xml:space="preserve">| Health backend | Paso remoto del CD | Confirmado |</w:t>
      </w:r>
    </w:p>
    <w:p>
      <w:pPr>
        <w:pStyle w:val="Code"/>
        <w:spacing w:after="120"/>
      </w:pPr>
      <w:r>
        <w:t xml:space="preserve">| Login productivo | No ejecutado durante esta recopilación | Pendiente de validar con Codex |</w:t>
      </w:r>
    </w:p>
    <w:p>
      <w:pPr>
        <w:pStyle w:val="Code"/>
        <w:spacing w:after="120"/>
      </w:pPr>
      <w:r>
        <w:t xml:space="preserve">| Restauración real desde backup | No observada | Pendiente de validar con Codex |</w:t>
      </w:r>
    </w:p>
    <w:p>
      <w:pPr>
        <w:pStyle w:val="Code"/>
        <w:spacing w:after="120"/>
      </w:pPr>
      <w:r>
        <w:t xml:space="preserve">| Rollback ensayado | Implementación leída; ensayo no observado | Pendiente de validar con Codex |</w:t>
      </w:r>
    </w:p>
    <w:p>
      <w:pPr>
        <w:pStyle w:val="Code"/>
        <w:spacing w:after="120"/>
      </w:pPr>
      <w:r>
        <w:t xml:space="preserve"/>
      </w:r>
    </w:p>
    <w:p>
      <w:pPr>
        <w:pStyle w:val="Footer"/>
        <w:spacing w:after="120"/>
        <w:jc w:val="center"/>
      </w:pPr>
      <w:r>
        <w:t xml:space="preserve">Aguas San Isidro | Documentacion tecnica y operativa</w:t>
      </w:r>
    </w:p>
    <w:sectPr>
      <w:pgSz w:w="11906" w:h="16838"/>
      <w:pgMar w:top="1020" w:right="1020" w:bottom="850" w:left="10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101B39"/>
    </w:rPr>
  </w:style>
  <w:style w:type="paragraph" w:styleId="Title">
    <w:name w:val="Title"/>
    <w:basedOn w:val="Normal"/>
    <w:pPr>
      <w:jc w:val="center"/>
    </w:pPr>
    <w:rPr>
      <w:rFonts w:ascii="Arial" w:hAnsi="Arial"/>
      <w:b/>
      <w:sz w:val="44"/>
      <w:color w:val="001B5E"/>
    </w:rPr>
  </w:style>
  <w:style w:type="paragraph" w:styleId="Subtitle">
    <w:name w:val="Subtitle"/>
    <w:basedOn w:val="Normal"/>
    <w:pPr>
      <w:jc w:val="center"/>
    </w:pPr>
    <w:rPr>
      <w:rFonts w:ascii="Arial" w:hAnsi="Arial"/>
      <w:b/>
      <w:sz w:val="36"/>
      <w:color w:val="001B5E"/>
    </w:rPr>
  </w:style>
  <w:style w:type="paragraph" w:styleId="Heading1">
    <w:name w:val="Heading 1"/>
    <w:basedOn w:val="Normal"/>
    <w:next w:val="Normal"/>
    <w:rPr>
      <w:b/>
      <w:sz w:val="30"/>
      <w:color w:val="001B5E"/>
    </w:rPr>
  </w:style>
  <w:style w:type="paragraph" w:styleId="Heading2">
    <w:name w:val="Heading 2"/>
    <w:basedOn w:val="Normal"/>
    <w:rPr>
      <w:b/>
      <w:sz w:val="26"/>
      <w:color w:val="001B5E"/>
    </w:rPr>
  </w:style>
  <w:style w:type="paragraph" w:styleId="Heading3">
    <w:name w:val="Heading 3"/>
    <w:basedOn w:val="Normal"/>
    <w:rPr>
      <w:b/>
      <w:sz w:val="23"/>
      <w:color w:val="006B9B"/>
    </w:rPr>
  </w:style>
  <w:style w:type="paragraph" w:styleId="List">
    <w:name w:val="List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7"/>
    </w:rPr>
  </w:style>
  <w:style w:type="paragraph" w:styleId="Footer">
    <w:name w:val="Footer"/>
    <w:basedOn w:val="Normal"/>
    <w:pPr>
      <w:jc w:val="center"/>
    </w:pPr>
    <w:rPr>
      <w:sz w:val="16"/>
      <w:color w:val="77849A"/>
    </w:rPr>
  </w:style>
</w:styles>
</file>

<file path=word/_rels/document.xml.rels><?xml version="1.0" encoding="UTF-8" standalone="yes"?><Relationships xmlns="http://schemas.openxmlformats.org/package/2006/relationships"><Relationship Id="rIdImage" Type="http://schemas.openxmlformats.org/officeDocument/2006/relationships/image" Target="media/image1.jpg"/></Relationships>
</file>