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1600000" cy="1600000"/>
            <wp:docPr id="1" name="Aguas San Isidro logo"/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Image"/>
                    <a:stretch>
                      <a:fillRect/>
                    </a:stretch>
                  </pic:blipFill>
                  <pic:spPr>
                    <a:xfrm>
                      <a:off x="0" y="0"/>
                      <a:ext cx="1600000" cy="1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20"/>
        <w:jc w:val="center"/>
      </w:pPr>
      <w:r>
        <w:t xml:space="preserve">Aguas San Isidro</w:t>
      </w:r>
    </w:p>
    <w:p>
      <w:pPr>
        <w:pStyle w:val="Subtitle"/>
        <w:spacing w:after="120"/>
        <w:jc w:val="center"/>
      </w:pPr>
      <w:r>
        <w:t xml:space="preserve">Gestion Segura de Accesos y Llaves</w:t>
      </w:r>
    </w:p>
    <w:p>
      <w:pPr>
        <w:pStyle w:val="Normal"/>
        <w:spacing w:after="120"/>
        <w:jc w:val="center"/>
      </w:pPr>
      <w:r>
        <w:t xml:space="preserve">Documentacion tecnica y operativa</w:t>
      </w:r>
    </w:p>
    <w:p>
      <w:pPr>
        <w:pStyle w:val="Normal"/>
        <w:spacing w:after="120"/>
        <w:jc w:val="center"/>
      </w:pPr>
      <w:r>
        <w:t xml:space="preserve">Documento preparado a partir de evidencia verificable del repositorio y de la sesion autorizada.</w:t>
      </w:r>
    </w:p>
    <w:p>
      <w:pPr>
        <w:pStyle w:val="Normal"/>
        <w:spacing w:after="120"/>
        <w:jc w:val="center"/>
      </w:pPr>
      <w:r>
        <w:t xml:space="preserve">Fecha de consulta: 02 de octubre de 2026</w:t>
      </w:r>
    </w:p>
    <w:p>
      <w:r>
        <w:br w:type="page"/>
      </w:r>
    </w:p>
    <w:p>
      <w:pPr>
        <w:pStyle w:val="Heading1"/>
        <w:spacing w:after="120"/>
      </w:pPr>
      <w:r>
        <w:t xml:space="preserve">Indice</w:t>
      </w:r>
    </w:p>
    <w:p>
      <w:pPr>
        <w:pStyle w:val="Heading2"/>
        <w:spacing w:after="120"/>
      </w:pPr>
      <w:r>
        <w:t xml:space="preserve">Propósito</w:t>
      </w:r>
    </w:p>
    <w:p>
      <w:pPr>
        <w:pStyle w:val="Heading2"/>
        <w:spacing w:after="120"/>
      </w:pPr>
      <w:r>
        <w:t xml:space="preserve">Roles de aplicación</w:t>
      </w:r>
    </w:p>
    <w:p>
      <w:pPr>
        <w:pStyle w:val="Heading2"/>
        <w:spacing w:after="120"/>
      </w:pPr>
      <w:r>
        <w:t xml:space="preserve">Autenticación y sesiones</w:t>
      </w:r>
    </w:p>
    <w:p>
      <w:pPr>
        <w:pStyle w:val="Heading2"/>
        <w:spacing w:after="120"/>
      </w:pPr>
      <w:r>
        <w:t xml:space="preserve">Accesos de despliegue</w:t>
      </w:r>
    </w:p>
    <w:p>
      <w:pPr>
        <w:pStyle w:val="Heading2"/>
        <w:spacing w:after="120"/>
      </w:pPr>
      <w:r>
        <w:t xml:space="preserve">Cuentas y acceso al servidor</w:t>
      </w:r>
    </w:p>
    <w:p>
      <w:pPr>
        <w:pStyle w:val="Heading2"/>
        <w:spacing w:after="120"/>
      </w:pPr>
      <w:r>
        <w:t xml:space="preserve">Procedimiento recomendado de alta y baja</w:t>
      </w:r>
    </w:p>
    <w:p>
      <w:pPr>
        <w:pStyle w:val="Heading2"/>
        <w:spacing w:after="120"/>
      </w:pPr>
      <w:r>
        <w:t xml:space="preserve">Hallazgos de seguridad</w:t>
      </w:r>
    </w:p>
    <w:p>
      <w:r>
        <w:br w:type="page"/>
      </w:r>
    </w:p>
    <w:p>
      <w:pPr>
        <w:pStyle w:val="Normal"/>
        <w:spacing w:after="120"/>
      </w:pPr>
      <w:r>
        <w:t xml:space="preserve">Este documento registra los controles de acceso observados sin mostrar contraseñas, PIN, hashes, tokens, cookies, llaves privadas ni valores de secretos.</w:t>
      </w:r>
    </w:p>
    <w:tbl>
      <w:tblPr>
        <w:tblW w:w="0" w:type="auto"/>
        <w:tblBorders>
          <w:top w:val="single" w:sz="4" w:color="CBD3DF"/>
          <w:left w:val="single" w:sz="4" w:color="CBD3DF"/>
          <w:bottom w:val="single" w:sz="4" w:color="CBD3DF"/>
          <w:right w:val="single" w:sz="4" w:color="CBD3DF"/>
          <w:insideH w:val="single" w:sz="4" w:color="CBD3DF"/>
          <w:insideV w:val="single" w:sz="4" w:color="CBD3DF"/>
        </w:tblBorders>
      </w:tblPr>
      <w:tblGrid>
        <w:gridCol w:w="2000"/>
        <w:gridCol w:w="2000"/>
      </w:tblGrid>
      <w:tr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Identificador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Capacidades confirmadas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SUPER_USUARIO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Acceso a administración de usuarios y actualización de alertas de stock; además de las operaciones permitidas por el dominio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USUARIO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Operación autenticada de los módulos de negocio según reglas de cada servicio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SOLO_LECTURA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Consultas; el backend bloquea toda mutación distinta de GET, HEAD y OPTIONS</w:t>
            </w:r>
          </w:p>
        </w:tc>
      </w:tr>
    </w:tbl>
    <w:p>
      <w:pPr>
        <w:pStyle w:val="Normal"/>
        <w:spacing w:after="120"/>
      </w:pPr>
      <w:r>
        <w:t xml:space="preserve">La administración de usuarios está protegida por requireRole("SUPER_USUARIO"). La migración 035 amplía la restricción de roles en la tabla itam.usuarios para aceptar SOLO_LECTURA.</w:t>
      </w:r>
    </w:p>
    <w:p>
      <w:pPr>
        <w:pStyle w:val="List"/>
        <w:spacing w:after="120"/>
      </w:pPr>
      <w:r>
        <w:t xml:space="preserve">â€¢ Login por contraseña: POST /api/v1/auth/login.</w:t>
      </w:r>
    </w:p>
    <w:p>
      <w:pPr>
        <w:pStyle w:val="List"/>
        <w:spacing w:after="120"/>
      </w:pPr>
      <w:r>
        <w:t xml:space="preserve">â€¢ Login por PIN: POST /api/v1/auth/login-pin.</w:t>
      </w:r>
    </w:p>
    <w:p>
      <w:pPr>
        <w:pStyle w:val="List"/>
        <w:spacing w:after="120"/>
      </w:pPr>
      <w:r>
        <w:t xml:space="preserve">â€¢ Consulta de sesión: GET /api/v1/auth/me.</w:t>
      </w:r>
    </w:p>
    <w:p>
      <w:pPr>
        <w:pStyle w:val="List"/>
        <w:spacing w:after="120"/>
      </w:pPr>
      <w:r>
        <w:t xml:space="preserve">â€¢ Cambio de contraseña: POST /api/v1/auth/change-password.</w:t>
      </w:r>
    </w:p>
    <w:p>
      <w:pPr>
        <w:pStyle w:val="List"/>
        <w:spacing w:after="120"/>
      </w:pPr>
      <w:r>
        <w:t xml:space="preserve">â€¢ Cambio de PIN: POST /api/v1/auth/change-pin.</w:t>
      </w:r>
    </w:p>
    <w:p>
      <w:pPr>
        <w:pStyle w:val="List"/>
        <w:spacing w:after="120"/>
      </w:pPr>
      <w:r>
        <w:t xml:space="preserve">â€¢ Cierre: POST /api/v1/auth/logout.</w:t>
      </w:r>
    </w:p>
    <w:p>
      <w:pPr>
        <w:pStyle w:val="Normal"/>
        <w:spacing w:after="120"/>
      </w:pPr>
      <w:r>
        <w:t xml:space="preserve">La sesión se identifica con la cookie HTTP-only itam_session. El código utiliza sameSite=lax; el atributo secure depende del protocolo externo detectado por Express. La sesión se revoca por inactividad o expiración absoluta. Las contraseñas y PIN se almacenan como hashes; el documento de seguridad del repositorio indica contraseña mínima de 12 caracteres y PIN de seis dígitos.</w:t>
      </w:r>
    </w:p>
    <w:p>
      <w:pPr>
        <w:pStyle w:val="Normal"/>
        <w:spacing w:after="120"/>
      </w:pPr>
      <w:r>
        <w:t xml:space="preserve">En la configuración de GitHub Actions se observaron los siguientes nombres de secretos. Sus valores no se incluyen:</w:t>
      </w:r>
    </w:p>
    <w:p>
      <w:pPr>
        <w:pStyle w:val="List"/>
        <w:spacing w:after="120"/>
      </w:pPr>
      <w:r>
        <w:t xml:space="preserve">â€¢ AWS_HOST.</w:t>
      </w:r>
    </w:p>
    <w:p>
      <w:pPr>
        <w:pStyle w:val="List"/>
        <w:spacing w:after="120"/>
      </w:pPr>
      <w:r>
        <w:t xml:space="preserve">â€¢ AWS_USER.</w:t>
      </w:r>
    </w:p>
    <w:p>
      <w:pPr>
        <w:pStyle w:val="List"/>
        <w:spacing w:after="120"/>
      </w:pPr>
      <w:r>
        <w:t xml:space="preserve">â€¢ AWS_SSH_PRIVATE_KEY.</w:t>
      </w:r>
    </w:p>
    <w:p>
      <w:pPr>
        <w:pStyle w:val="List"/>
        <w:spacing w:after="120"/>
      </w:pPr>
      <w:r>
        <w:t xml:space="preserve">â€¢ AWS_KNOWN_HOSTS.</w:t>
      </w:r>
    </w:p>
    <w:p>
      <w:pPr>
        <w:pStyle w:val="Normal"/>
        <w:spacing w:after="120"/>
      </w:pPr>
      <w:r>
        <w:t xml:space="preserve">Durante la puesta en producción se agregó AWS_KNOWN_HOSTS y se actualizó AWS_HOST con la IP pública observada 34.193.75.49. El contenido de la llave privada y de la huella no se leyó ni se copia en este documento.</w:t>
      </w:r>
    </w:p>
    <w:p>
      <w:pPr>
        <w:pStyle w:val="Normal"/>
        <w:spacing w:after="120"/>
      </w:pPr>
      <w:r>
        <w:t xml:space="preserve">El job crea temporalmente ~/.ssh/itam_deploy_key y ~/.ssh/known_hosts en el runner, usa scp y ssh, y no conserva esas llaves dentro del release.</w:t>
      </w:r>
    </w:p>
    <w:p>
      <w:pPr>
        <w:pStyle w:val="Normal"/>
        <w:spacing w:after="120"/>
      </w:pPr>
      <w:r>
        <w:t xml:space="preserve">La sesión mostró un prompt con usuario ubuntu y hostname interno ip-172-26-14-137. No se observaron grupos, sudoers, authorized_keys, MFA, origen permitido, bastion host ni reglas de firewall.</w:t>
      </w:r>
    </w:p>
    <w:p>
      <w:pPr>
        <w:pStyle w:val="Normal"/>
        <w:spacing w:after="120"/>
      </w:pPr>
      <w:r>
        <w:t xml:space="preserve">Estado: Pendiente de validar con Codex mediante revisión de solo lectura y sin copiar material sensible.</w:t>
      </w:r>
    </w:p>
    <w:p>
      <w:pPr>
        <w:pStyle w:val="List"/>
        <w:spacing w:after="120"/>
      </w:pPr>
      <w:r>
        <w:t xml:space="preserve">Solicitar responsable, alcance y fecha de expiración.</w:t>
      </w:r>
    </w:p>
    <w:p>
      <w:pPr>
        <w:pStyle w:val="List"/>
        <w:spacing w:after="120"/>
      </w:pPr>
      <w:r>
        <w:t xml:space="preserve">Crear la cuenta con el rol mínimo necesario.</w:t>
      </w:r>
    </w:p>
    <w:p>
      <w:pPr>
        <w:pStyle w:val="List"/>
        <w:spacing w:after="120"/>
      </w:pPr>
      <w:r>
        <w:t xml:space="preserve">Exigir cambio inicial de contraseña y PIN cuando corresponda.</w:t>
      </w:r>
    </w:p>
    <w:p>
      <w:pPr>
        <w:pStyle w:val="List"/>
        <w:spacing w:after="120"/>
      </w:pPr>
      <w:r>
        <w:t xml:space="preserve">Verificar que la sesión y las rutas visibles coincidan con el rol.</w:t>
      </w:r>
    </w:p>
    <w:p>
      <w:pPr>
        <w:pStyle w:val="List"/>
        <w:spacing w:after="120"/>
      </w:pPr>
      <w:r>
        <w:t xml:space="preserve">Revisar auditoría de mutaciones.</w:t>
      </w:r>
    </w:p>
    <w:p>
      <w:pPr>
        <w:pStyle w:val="List"/>
        <w:spacing w:after="120"/>
      </w:pPr>
      <w:r>
        <w:t xml:space="preserve">Desactivar la cuenta al término de la necesidad.</w:t>
      </w:r>
    </w:p>
    <w:p>
      <w:pPr>
        <w:pStyle w:val="List"/>
        <w:spacing w:after="120"/>
      </w:pPr>
      <w:r>
        <w:t xml:space="preserve">Revocar sesiones activas y llaves asociadas.</w:t>
      </w:r>
    </w:p>
    <w:p>
      <w:pPr>
        <w:pStyle w:val="List"/>
        <w:spacing w:after="120"/>
      </w:pPr>
      <w:r>
        <w:t xml:space="preserve">Rotar secretos de despliegue si una llave o cuenta pudo quedar expuesta.</w:t>
      </w:r>
    </w:p>
    <w:tbl>
      <w:tblPr>
        <w:tblW w:w="0" w:type="auto"/>
        <w:tblBorders>
          <w:top w:val="single" w:sz="4" w:color="CBD3DF"/>
          <w:left w:val="single" w:sz="4" w:color="CBD3DF"/>
          <w:bottom w:val="single" w:sz="4" w:color="CBD3DF"/>
          <w:right w:val="single" w:sz="4" w:color="CBD3DF"/>
          <w:insideH w:val="single" w:sz="4" w:color="CBD3DF"/>
          <w:insideV w:val="single" w:sz="4" w:color="CBD3DF"/>
        </w:tblBorders>
      </w:tblPr>
      <w:tblGrid>
        <w:gridCol w:w="2000"/>
        <w:gridCol w:w="2000"/>
        <w:gridCol w:w="2000"/>
      </w:tblGrid>
      <w:tr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Hallazgo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Clasificación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shd w:fill="E9F0FA"/>
              <w:rPr>
                <w:b/>
              </w:rPr>
              <w:t xml:space="preserve">Acción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Valores de secretos no expuestos en los documentos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Mantener la práctica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AWS_KNOWN_HOSTS fue necesario para conexión SSH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Confirmado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Mantenerlo como secreto protegido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MFA de GitHub/AWS no observado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Pendiente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Validar con administrador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Restricciones de SSH del servidor no observadas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Pendiente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Revisar sshd_config, grupos y origen</w:t>
            </w:r>
          </w:p>
        </w:tc>
      </w:tr>
      <w:tr>
        <w:tc>
          <w:tcPr>
            <w:tcW w:w="2000" w:type="auto"/>
          </w:tcPr>
          <w:p>
            <w:pPr>
              <w:spacing w:after="0"/>
            </w:pPr>
            <w:r>
              <w:t xml:space="preserve">Rotación periódica de llaves no documentada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Riesgo</w:t>
            </w:r>
          </w:p>
        </w:tc>
        <w:tc>
          <w:tcPr>
            <w:tcW w:w="2000" w:type="auto"/>
          </w:tcPr>
          <w:p>
            <w:pPr>
              <w:spacing w:after="0"/>
            </w:pPr>
            <w:r>
              <w:t xml:space="preserve">Definir periodicidad y responsable</w:t>
            </w:r>
          </w:p>
        </w:tc>
      </w:tr>
    </w:tbl>
    <w:p>
      <w:pPr>
        <w:pStyle w:val="Footer"/>
        <w:spacing w:after="120"/>
        <w:jc w:val="center"/>
      </w:pPr>
      <w:r>
        <w:t xml:space="preserve">Aguas San Isidro | Documentacion tecnica y operativa</w:t>
      </w:r>
    </w:p>
    <w:sectPr>
      <w:pgSz w:w="11906" w:h="16838"/>
      <w:pgMar w:top="1020" w:right="1020" w:bottom="850" w:left="10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101B39"/>
    </w:rPr>
  </w:style>
  <w:style w:type="paragraph" w:styleId="Title">
    <w:name w:val="Title"/>
    <w:basedOn w:val="Normal"/>
    <w:pPr>
      <w:jc w:val="center"/>
    </w:pPr>
    <w:rPr>
      <w:rFonts w:ascii="Arial" w:hAnsi="Arial"/>
      <w:b/>
      <w:sz w:val="44"/>
      <w:color w:val="001B5E"/>
    </w:rPr>
  </w:style>
  <w:style w:type="paragraph" w:styleId="Subtitle">
    <w:name w:val="Subtitle"/>
    <w:basedOn w:val="Normal"/>
    <w:pPr>
      <w:jc w:val="center"/>
    </w:pPr>
    <w:rPr>
      <w:rFonts w:ascii="Arial" w:hAnsi="Arial"/>
      <w:b/>
      <w:sz w:val="36"/>
      <w:color w:val="001B5E"/>
    </w:rPr>
  </w:style>
  <w:style w:type="paragraph" w:styleId="Heading1">
    <w:name w:val="Heading 1"/>
    <w:basedOn w:val="Normal"/>
    <w:next w:val="Normal"/>
    <w:rPr>
      <w:b/>
      <w:sz w:val="30"/>
      <w:color w:val="001B5E"/>
    </w:rPr>
  </w:style>
  <w:style w:type="paragraph" w:styleId="Heading2">
    <w:name w:val="Heading 2"/>
    <w:basedOn w:val="Normal"/>
    <w:rPr>
      <w:b/>
      <w:sz w:val="26"/>
      <w:color w:val="001B5E"/>
    </w:rPr>
  </w:style>
  <w:style w:type="paragraph" w:styleId="Heading3">
    <w:name w:val="Heading 3"/>
    <w:basedOn w:val="Normal"/>
    <w:rPr>
      <w:b/>
      <w:sz w:val="23"/>
      <w:color w:val="006B9B"/>
    </w:rPr>
  </w:style>
  <w:style w:type="paragraph" w:styleId="List">
    <w:name w:val="List"/>
    <w:basedOn w:val="Normal"/>
    <w:pPr>
      <w:ind w:left="360"/>
    </w:pPr>
  </w:style>
  <w:style w:type="paragraph" w:styleId="Code">
    <w:name w:val="Code"/>
    <w:basedOn w:val="Normal"/>
    <w:rPr>
      <w:rFonts w:ascii="Consolas" w:hAnsi="Consolas"/>
      <w:sz w:val="17"/>
    </w:rPr>
  </w:style>
  <w:style w:type="paragraph" w:styleId="Footer">
    <w:name w:val="Footer"/>
    <w:basedOn w:val="Normal"/>
    <w:pPr>
      <w:jc w:val="center"/>
    </w:pPr>
    <w:rPr>
      <w:sz w:val="16"/>
      <w:color w:val="77849A"/>
    </w:rPr>
  </w:style>
</w:styles>
</file>

<file path=word/_rels/document.xml.rels><?xml version="1.0" encoding="UTF-8" standalone="yes"?><Relationships xmlns="http://schemas.openxmlformats.org/package/2006/relationships"><Relationship Id="rIdImage" Type="http://schemas.openxmlformats.org/officeDocument/2006/relationships/image" Target="media/image1.jpg"/></Relationships>
</file>