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1600000" cy="1600000"/>
            <wp:docPr id="1" name="Aguas San Isidro logo"/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20"/>
        <w:jc w:val="center"/>
      </w:pPr>
      <w:r>
        <w:t xml:space="preserve">Aguas San Isidro</w:t>
      </w:r>
    </w:p>
    <w:p>
      <w:pPr>
        <w:pStyle w:val="Subtitle"/>
        <w:spacing w:after="120"/>
        <w:jc w:val="center"/>
      </w:pPr>
      <w:r>
        <w:t xml:space="preserve">Manual de Usuario</w:t>
      </w:r>
    </w:p>
    <w:p>
      <w:pPr>
        <w:pStyle w:val="Normal"/>
        <w:spacing w:after="120"/>
        <w:jc w:val="center"/>
      </w:pPr>
      <w:r>
        <w:t xml:space="preserve">Documentacion tecnica y operativa</w:t>
      </w:r>
    </w:p>
    <w:p>
      <w:pPr>
        <w:pStyle w:val="Normal"/>
        <w:spacing w:after="120"/>
        <w:jc w:val="center"/>
      </w:pPr>
      <w:r>
        <w:t xml:space="preserve">Documento preparado a partir de evidencia verificable del repositorio y de la sesion autorizada.</w:t>
      </w:r>
    </w:p>
    <w:p>
      <w:pPr>
        <w:pStyle w:val="Normal"/>
        <w:spacing w:after="120"/>
        <w:jc w:val="center"/>
      </w:pPr>
      <w:r>
        <w:t xml:space="preserve">Fecha de consulta: 02 de octubre de 2026</w:t>
      </w:r>
    </w:p>
    <w:p>
      <w:r>
        <w:br w:type="page"/>
      </w:r>
    </w:p>
    <w:p>
      <w:pPr>
        <w:pStyle w:val="Heading1"/>
        <w:spacing w:after="120"/>
      </w:pPr>
      <w:r>
        <w:t xml:space="preserve">Indice</w:t>
      </w:r>
    </w:p>
    <w:p>
      <w:pPr>
        <w:pStyle w:val="Heading2"/>
        <w:spacing w:after="120"/>
      </w:pPr>
      <w:r>
        <w:t xml:space="preserve">Objetivo</w:t>
      </w:r>
    </w:p>
    <w:p>
      <w:pPr>
        <w:pStyle w:val="Heading2"/>
        <w:spacing w:after="120"/>
      </w:pPr>
      <w:r>
        <w:t xml:space="preserve">Alcance</w:t>
      </w:r>
    </w:p>
    <w:p>
      <w:pPr>
        <w:pStyle w:val="Heading2"/>
        <w:spacing w:after="120"/>
      </w:pPr>
      <w:r>
        <w:t xml:space="preserve">Usuarios, roles y permisos</w:t>
      </w:r>
    </w:p>
    <w:p>
      <w:pPr>
        <w:pStyle w:val="Heading2"/>
        <w:spacing w:after="120"/>
      </w:pPr>
      <w:r>
        <w:t xml:space="preserve">Inicio de sesión y Mi acceso</w:t>
      </w:r>
    </w:p>
    <w:p>
      <w:pPr>
        <w:pStyle w:val="Heading2"/>
        <w:spacing w:after="120"/>
      </w:pPr>
      <w:r>
        <w:t xml:space="preserve">Navegación y panel principal</w:t>
      </w:r>
    </w:p>
    <w:p>
      <w:pPr>
        <w:pStyle w:val="Heading2"/>
        <w:spacing w:after="120"/>
      </w:pPr>
      <w:r>
        <w:t xml:space="preserve">Colaboradores</w:t>
      </w:r>
    </w:p>
    <w:p>
      <w:pPr>
        <w:pStyle w:val="Heading2"/>
        <w:spacing w:after="120"/>
      </w:pPr>
      <w:r>
        <w:t xml:space="preserve">Usuarios</w:t>
      </w:r>
    </w:p>
    <w:p>
      <w:pPr>
        <w:pStyle w:val="Heading2"/>
        <w:spacing w:after="120"/>
      </w:pPr>
      <w:r>
        <w:t xml:space="preserve">Dispositivos e inventario</w:t>
      </w:r>
    </w:p>
    <w:p>
      <w:pPr>
        <w:pStyle w:val="Heading2"/>
        <w:spacing w:after="120"/>
      </w:pPr>
      <w:r>
        <w:t xml:space="preserve">SIM y líneas telefónicas</w:t>
      </w:r>
    </w:p>
    <w:p>
      <w:pPr>
        <w:pStyle w:val="Heading2"/>
        <w:spacing w:after="120"/>
      </w:pPr>
      <w:r>
        <w:t xml:space="preserve">Asignaciones, recepción y devoluciones</w:t>
      </w:r>
    </w:p>
    <w:p>
      <w:pPr>
        <w:pStyle w:val="Heading2"/>
        <w:spacing w:after="120"/>
      </w:pPr>
      <w:r>
        <w:t xml:space="preserve">Actas, impresión y generación y descarga de PDF</w:t>
      </w:r>
    </w:p>
    <w:p>
      <w:pPr>
        <w:pStyle w:val="Heading2"/>
        <w:spacing w:after="120"/>
      </w:pPr>
      <w:r>
        <w:t xml:space="preserve">Servicio técnico y órdenes de trabajo</w:t>
      </w:r>
    </w:p>
    <w:p>
      <w:pPr>
        <w:pStyle w:val="Heading3"/>
        <w:spacing w:after="120"/>
      </w:pPr>
      <w:r>
        <w:t xml:space="preserve">Crear una orden</w:t>
      </w:r>
    </w:p>
    <w:p>
      <w:pPr>
        <w:pStyle w:val="Heading3"/>
        <w:spacing w:after="120"/>
      </w:pPr>
      <w:r>
        <w:t xml:space="preserve">Generación y descarga de PDF</w:t>
      </w:r>
    </w:p>
    <w:p>
      <w:pPr>
        <w:pStyle w:val="Heading3"/>
        <w:spacing w:after="120"/>
      </w:pPr>
      <w:r>
        <w:t xml:space="preserve">Diagnóstico, cotización y cierre</w:t>
      </w:r>
    </w:p>
    <w:p>
      <w:pPr>
        <w:pStyle w:val="Heading2"/>
        <w:spacing w:after="120"/>
      </w:pPr>
      <w:r>
        <w:t xml:space="preserve">Estados, historial, búsquedas y filtros</w:t>
      </w:r>
    </w:p>
    <w:p>
      <w:pPr>
        <w:pStyle w:val="Heading2"/>
        <w:spacing w:after="120"/>
      </w:pPr>
      <w:r>
        <w:t xml:space="preserve">Formularios, campos obligatorios y validaciones</w:t>
      </w:r>
    </w:p>
    <w:p>
      <w:pPr>
        <w:pStyle w:val="Heading2"/>
        <w:spacing w:after="120"/>
      </w:pPr>
      <w:r>
        <w:t xml:space="preserve">Cierre de sesión</w:t>
      </w:r>
    </w:p>
    <w:p>
      <w:pPr>
        <w:pStyle w:val="Heading3"/>
        <w:spacing w:after="120"/>
      </w:pPr>
      <w:r>
        <w:t xml:space="preserve">Mensajes de error y soluciones</w:t>
      </w:r>
    </w:p>
    <w:p>
      <w:pPr>
        <w:pStyle w:val="Heading2"/>
        <w:spacing w:after="120"/>
      </w:pPr>
      <w:r>
        <w:t xml:space="preserve">Glosario</w:t>
      </w:r>
    </w:p>
    <w:p>
      <w:pPr>
        <w:pStyle w:val="Heading2"/>
        <w:spacing w:after="120"/>
      </w:pPr>
      <w:r>
        <w:t xml:space="preserve">Evidencia y límites</w:t>
      </w:r>
    </w:p>
    <w:p>
      <w:r>
        <w:br w:type="page"/>
      </w:r>
    </w:p>
    <w:p>
      <w:pPr>
        <w:pStyle w:val="Normal"/>
        <w:spacing w:after="120"/>
      </w:pPr>
      <w:r>
        <w:t xml:space="preserve">Este manual explica cómo utilizar ITAM para consultar y administrar activos tecnológicos de Aguas San Isidro. Describe las tareas visibles en el frontend y las reglas que condicionan cada operación.</w:t>
      </w:r>
    </w:p>
    <w:p>
      <w:pPr>
        <w:pStyle w:val="Normal"/>
        <w:spacing w:after="120"/>
      </w:pPr>
      <w:r>
        <w:t xml:space="preserve">Incluye inicio de sesión, panel principal, colaboradores, usuarios, dispositivos, inventario, SIM, líneas telefónicas, asignaciones, recepciones, devoluciones, actas, servicio técnico, órdenes de trabajo, estados, historial, búsquedas, filtros, formularios, impresión y generación de PDF. La documentación se basa en el código disponible en el commit 754d036f00aa24b180c3812c460a2b18bd82b1a5 y distingue los datos confirmados de los que requieren validación en servidor.</w:t>
      </w:r>
    </w:p>
    <w:tbl>
      <w:tblPr>
        <w:tblW w:w="0" w:type="auto"/>
        <w:tblBorders>
          <w:top w:val="single" w:sz="4" w:color="CBD3DF"/>
          <w:left w:val="single" w:sz="4" w:color="CBD3DF"/>
          <w:bottom w:val="single" w:sz="4" w:color="CBD3DF"/>
          <w:right w:val="single" w:sz="4" w:color="CBD3DF"/>
          <w:insideH w:val="single" w:sz="4" w:color="CBD3DF"/>
          <w:insideV w:val="single" w:sz="4" w:color="CBD3DF"/>
        </w:tblBorders>
      </w:tblPr>
      <w:tblGrid>
        <w:gridCol w:w="2000"/>
        <w:gridCol w:w="2000"/>
        <w:gridCol w:w="2000"/>
        <w:gridCol w:w="2000"/>
      </w:tblGrid>
      <w:tr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Rol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Puede consultar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Puede modificar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Restricciones verificadas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SUPER_USUARIO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Todos los módulos autorizados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Usuarios, catálogos, inventario y operaciones de negocio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La administración de usuarios exige este rol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USUARIO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Módulos de negocio y reportes autorizados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Operaciones de inventario y procesos permitidos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No administra usuarios; las rutas pueden exigir permisos adicionales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SOLO_LECTURA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Información disponible para lectura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Ninguna mutación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El backend rechaza POST, PUT, PATCH y DELETE; la interfaz oculta o bloquea acciones de escritura</w:t>
            </w:r>
          </w:p>
        </w:tc>
      </w:tr>
    </w:tbl>
    <w:p>
      <w:pPr>
        <w:pStyle w:val="Normal"/>
        <w:spacing w:after="120"/>
      </w:pPr>
      <w:r>
        <w:t xml:space="preserve">El control de solo lectura se aplica en backend/src/shared/auth.middleware.ts mediante rejectReadOnlyMutations. En el frontend, writeGuard restringe la ruta de alertas de stock y los componentes ocultan acciones de edición según el rol. La seguridad del backend es la autoridad final.</w:t>
      </w:r>
    </w:p>
    <w:p>
      <w:pPr>
        <w:pStyle w:val="List"/>
        <w:spacing w:after="120"/>
      </w:pPr>
      <w:r>
        <w:t xml:space="preserve">Abra la aplicación y use el formulario de Login.</w:t>
      </w:r>
    </w:p>
    <w:p>
      <w:pPr>
        <w:pStyle w:val="List"/>
        <w:spacing w:after="120"/>
      </w:pPr>
      <w:r>
        <w:t xml:space="preserve">Si la cuenta exige cambio de contraseña o PIN, la aplicación redirige a Mi acceso.</w:t>
      </w:r>
    </w:p>
    <w:p>
      <w:pPr>
        <w:pStyle w:val="List"/>
        <w:spacing w:after="120"/>
      </w:pPr>
      <w:r>
        <w:t xml:space="preserve">Actualice las credenciales solicitadas antes de intentar abrir otro módulo.</w:t>
      </w:r>
    </w:p>
    <w:p>
      <w:pPr>
        <w:pStyle w:val="List"/>
        <w:spacing w:after="120"/>
      </w:pPr>
      <w:r>
        <w:t xml:space="preserve">La sesión se mantiene en la cookie HTTP-only itam_session.</w:t>
      </w:r>
    </w:p>
    <w:p>
      <w:pPr>
        <w:pStyle w:val="Normal"/>
        <w:spacing w:after="120"/>
      </w:pPr>
      <w:r>
        <w:t xml:space="preserve">Los valores por defecto del código son 60 minutos de inactividad y una advertencia 5 minutos antes. Los valores productivos dependen de SESSION_IDLE_TIMEOUT_MINUTES y SESSION_IDLE_WARNING_MINUTES, por lo que la configuración final debe validarse en servidor.</w:t>
      </w:r>
    </w:p>
    <w:p>
      <w:pPr>
        <w:pStyle w:val="Normal"/>
        <w:spacing w:after="120"/>
      </w:pPr>
      <w:r>
        <w:t xml:space="preserve">Después de autenticarse, el frontend carga MainLayout y redirige a Dashboard. Las rutas funcionales confirmadas son:</w:t>
      </w:r>
    </w:p>
    <w:p>
      <w:pPr>
        <w:pStyle w:val="List"/>
        <w:spacing w:after="120"/>
      </w:pPr>
      <w:r>
        <w:t xml:space="preserve">â€¢ /dashboard: resumen gerencial y accesos a información operativa.</w:t>
      </w:r>
    </w:p>
    <w:p>
      <w:pPr>
        <w:pStyle w:val="List"/>
        <w:spacing w:after="120"/>
      </w:pPr>
      <w:r>
        <w:t xml:space="preserve">â€¢ /departamentos: departamentos e inventario departamental.</w:t>
      </w:r>
    </w:p>
    <w:p>
      <w:pPr>
        <w:pStyle w:val="List"/>
        <w:spacing w:after="120"/>
      </w:pPr>
      <w:r>
        <w:t xml:space="preserve">â€¢ /colaboradores: búsqueda, detalle e inventario de personas.</w:t>
      </w:r>
    </w:p>
    <w:p>
      <w:pPr>
        <w:pStyle w:val="List"/>
        <w:spacing w:after="120"/>
      </w:pPr>
      <w:r>
        <w:t xml:space="preserve">â€¢ /dispositivos: inventario, detalle y operaciones del activo.</w:t>
      </w:r>
    </w:p>
    <w:p>
      <w:pPr>
        <w:pStyle w:val="List"/>
        <w:spacing w:after="120"/>
      </w:pPr>
      <w:r>
        <w:t xml:space="preserve">â€¢ /sim: tarjetas SIM y sus asociaciones.</w:t>
      </w:r>
    </w:p>
    <w:p>
      <w:pPr>
        <w:pStyle w:val="List"/>
        <w:spacing w:after="120"/>
      </w:pPr>
      <w:r>
        <w:t xml:space="preserve">â€¢ /estados, /tipos-dispositivo y /familias-codigo: catálogos.</w:t>
      </w:r>
    </w:p>
    <w:p>
      <w:pPr>
        <w:pStyle w:val="List"/>
        <w:spacing w:after="120"/>
      </w:pPr>
      <w:r>
        <w:t xml:space="preserve">â€¢ /alertas-stock: alertas configurables de stock; no accesible para solo lectura.</w:t>
      </w:r>
    </w:p>
    <w:p>
      <w:pPr>
        <w:pStyle w:val="List"/>
        <w:spacing w:after="120"/>
      </w:pPr>
      <w:r>
        <w:t xml:space="preserve">â€¢ /offboarding: procesos de salida de personal.</w:t>
      </w:r>
    </w:p>
    <w:p>
      <w:pPr>
        <w:pStyle w:val="List"/>
        <w:spacing w:after="120"/>
      </w:pPr>
      <w:r>
        <w:t xml:space="preserve">â€¢ /servicio-tecnico: órdenes y revisiones técnicas.</w:t>
      </w:r>
    </w:p>
    <w:p>
      <w:pPr>
        <w:pStyle w:val="List"/>
        <w:spacing w:after="120"/>
      </w:pPr>
      <w:r>
        <w:t xml:space="preserve">â€¢ /actas y /reportes: documentos y reportes.</w:t>
      </w:r>
    </w:p>
    <w:p>
      <w:pPr>
        <w:pStyle w:val="List"/>
        <w:spacing w:after="120"/>
      </w:pPr>
      <w:r>
        <w:t xml:space="preserve">â€¢ /administracion/usuarios: administración exclusiva del superusuario.</w:t>
      </w:r>
    </w:p>
    <w:p>
      <w:pPr>
        <w:pStyle w:val="List"/>
        <w:spacing w:after="120"/>
      </w:pPr>
      <w:r>
        <w:t xml:space="preserve">â€¢ /mi-acceso: cambio de credenciales.</w:t>
      </w:r>
    </w:p>
    <w:p>
      <w:pPr>
        <w:pStyle w:val="Normal"/>
        <w:spacing w:after="120"/>
      </w:pPr>
      <w:r>
        <w:t xml:space="preserve">Desde Colaboradores se puede buscar por los criterios expuestos por la interfaz, abrir el detalle de una persona y consultar sus equipos actuales, historial y procesos de salida. El detalle de inventario puede diferenciar inventario vigente y conciliado. Las operaciones de alta, edición y devolución requieren un perfil con escritura.</w:t>
      </w:r>
    </w:p>
    <w:p>
      <w:pPr>
        <w:pStyle w:val="Normal"/>
        <w:spacing w:after="120"/>
      </w:pPr>
      <w:r>
        <w:t xml:space="preserve">La ruta Administración de usuarios permite listar, crear y actualizar usuarios solo cuando el backend reconoce SUPER_USUARIO. El formulario contiene nombre, correo, cargo, contraseña, PIN, perfil y estado activo. El perfil SOLO_LECTURA debe guardarse como tal y no se debe confundir con desactivar la cuenta: una cuenta puede estar activa y ser de solo lectura.</w:t>
      </w:r>
    </w:p>
    <w:p>
      <w:pPr>
        <w:pStyle w:val="Normal"/>
        <w:spacing w:after="120"/>
      </w:pPr>
      <w:r>
        <w:t xml:space="preserve">En Inventario se consulta el código ITAM, tipo, marca, modelo, IMEI o número de serie, estado, valor comercial, custodio, SIM, línea móvil, historial y verificaciones físicas. El código de inventario es generado y validado por el backend; no se debe editar manualmente para reutilizarlo.</w:t>
      </w:r>
    </w:p>
    <w:p>
      <w:pPr>
        <w:pStyle w:val="Normal"/>
        <w:spacing w:after="120"/>
      </w:pPr>
      <w:r>
        <w:t xml:space="preserve">Las operaciones disponibles dependen del estado del activo y del rol:</w:t>
      </w:r>
    </w:p>
    <w:p>
      <w:pPr>
        <w:pStyle w:val="List"/>
        <w:spacing w:after="120"/>
      </w:pPr>
      <w:r>
        <w:t xml:space="preserve">Abrir el detalle del dispositivo.</w:t>
      </w:r>
    </w:p>
    <w:p>
      <w:pPr>
        <w:pStyle w:val="List"/>
        <w:spacing w:after="120"/>
      </w:pPr>
      <w:r>
        <w:t xml:space="preserve">Revisar identificadores y custodio actual.</w:t>
      </w:r>
    </w:p>
    <w:p>
      <w:pPr>
        <w:pStyle w:val="List"/>
        <w:spacing w:after="120"/>
      </w:pPr>
      <w:r>
        <w:t xml:space="preserve">Ejecutar la operación permitida: asignar, devolver, recuperar, cambiar estado, dar de baja, asociar línea, registrar verificación o enviar a servicio técnico.</w:t>
      </w:r>
    </w:p>
    <w:p>
      <w:pPr>
        <w:pStyle w:val="List"/>
        <w:spacing w:after="120"/>
      </w:pPr>
      <w:r>
        <w:t xml:space="preserve">Revisar el mensaje de confirmación y el historial resultante.</w:t>
      </w:r>
    </w:p>
    <w:p>
      <w:pPr>
        <w:pStyle w:val="Normal"/>
        <w:spacing w:after="120"/>
      </w:pPr>
      <w:r>
        <w:t xml:space="preserve">El backend evita custodias vigentes incompatibles, duplicidad de IMEI o serie cuando corresponde y operaciones que contradicen el ciclo de vida del activo.</w:t>
      </w:r>
    </w:p>
    <w:p>
      <w:pPr>
        <w:pStyle w:val="Normal"/>
        <w:spacing w:after="120"/>
      </w:pPr>
      <w:r>
        <w:t xml:space="preserve">La SIM, el smartphone y la línea telefónica son entidades relacionadas pero distintas. En SIM se consulta la tarjeta, su ICCID, estado, número asociado, equipo y colaborador. En el detalle del dispositivo se puede asociar o desasociar una línea según la operación permitida.</w:t>
      </w:r>
    </w:p>
    <w:p>
      <w:pPr>
        <w:pStyle w:val="Normal"/>
        <w:spacing w:after="120"/>
      </w:pPr>
      <w:r>
        <w:t xml:space="preserve">Una línea móvil no reemplaza una verificación física del equipo. La asociación debe comprobarse en el historial del dispositivo y en el historial de la SIM.</w:t>
      </w:r>
    </w:p>
    <w:p>
      <w:pPr>
        <w:pStyle w:val="Normal"/>
        <w:spacing w:after="120"/>
      </w:pPr>
      <w:r>
        <w:t xml:space="preserve">Una asignación relaciona un dispositivo con un colaborador o departamento. Antes de guardar, compruebe que el activo esté disponible, que el custodio sea válido y que no exista otra custodia vigente.</w:t>
      </w:r>
    </w:p>
    <w:p>
      <w:pPr>
        <w:pStyle w:val="Normal"/>
        <w:spacing w:after="120"/>
      </w:pPr>
      <w:r>
        <w:t xml:space="preserve">Una recepción o devolución debe registrar el resultado que ofrece el formulario y conservar la trazabilidad. En caso de devolución de un equipo temporal, primero debe cerrarse la entrega temporal asociada a la orden técnica.</w:t>
      </w:r>
    </w:p>
    <w:p>
      <w:pPr>
        <w:pStyle w:val="Normal"/>
        <w:spacing w:after="120"/>
      </w:pPr>
      <w:r>
        <w:t xml:space="preserve">El módulo de actas permite consultar actas de entrega y generar su PDF. Los comprobantes de devolución tienen un endpoint de PDF separado. Antes de imprimir:</w:t>
      </w:r>
    </w:p>
    <w:p>
      <w:pPr>
        <w:pStyle w:val="List"/>
        <w:spacing w:after="120"/>
      </w:pPr>
      <w:r>
        <w:t xml:space="preserve">Revise número, persona, departamento y activos.</w:t>
      </w:r>
    </w:p>
    <w:p>
      <w:pPr>
        <w:pStyle w:val="List"/>
        <w:spacing w:after="120"/>
      </w:pPr>
      <w:r>
        <w:t xml:space="preserve">Confirme que no falten datos obligatorios.</w:t>
      </w:r>
    </w:p>
    <w:p>
      <w:pPr>
        <w:pStyle w:val="List"/>
        <w:spacing w:after="120"/>
      </w:pPr>
      <w:r>
        <w:t xml:space="preserve">Use Ver / imprimir PDF o Descargar PDF según el módulo.</w:t>
      </w:r>
    </w:p>
    <w:p>
      <w:pPr>
        <w:pStyle w:val="List"/>
        <w:spacing w:after="120"/>
      </w:pPr>
      <w:r>
        <w:t xml:space="preserve">Compruebe visualmente el documento antes de archivarlo.</w:t>
      </w:r>
    </w:p>
    <w:p>
      <w:pPr>
        <w:pStyle w:val="Normal"/>
        <w:spacing w:after="120"/>
      </w:pPr>
      <w:r>
        <w:t xml:space="preserve">Las etiquetas físicas de activos utilizan QR y el componente AssetLabel llama a window.print() para imprimir solo la etiqueta. La impresión de una etiqueta no modifica el inventario.</w:t>
      </w:r>
    </w:p>
    <w:p>
      <w:pPr>
        <w:pStyle w:val="Normal"/>
        <w:spacing w:after="120"/>
      </w:pPr>
      <w:r>
        <w:t xml:space="preserve">En Servicio técnico se muestran las revisiones y la orden seleccionada. El flujo tiene tres etapas: envío, diagnóstico o cotización y retorno o cierre.</w:t>
      </w:r>
    </w:p>
    <w:p>
      <w:pPr>
        <w:pStyle w:val="Normal"/>
        <w:spacing w:after="120"/>
      </w:pPr>
      <w:r>
        <w:t xml:space="preserve">El formulario exige fecha de envío, proveedor o destino, falla reportada, tipo de servicio y responsable TI. También admite área solicitante, contacto, accesorios y observaciones. No se puede crear otra orden abierta para el mismo equipo.</w:t>
      </w:r>
    </w:p>
    <w:p>
      <w:pPr>
        <w:pStyle w:val="Normal"/>
        <w:spacing w:after="120"/>
      </w:pPr>
      <w:r>
        <w:t xml:space="preserve">La aplicación consulta GET /api/v1/servicio-tecnico/:id/envio/pdf. El generador usa A4, logo, tablas de fondo blanco, bordes gris claro, firmas y pie institucional. La sección debe aparecer exactamente como 5. RECEPCIÓN Y DEVOLUCIÓN (INTERNO). El número visible utiliza la correlatividad numero_ot de la migración 036; no se debe hardcodear la OT-163.</w:t>
      </w:r>
    </w:p>
    <w:p>
      <w:pPr>
        <w:pStyle w:val="List"/>
        <w:spacing w:after="120"/>
      </w:pPr>
      <w:r>
        <w:t xml:space="preserve">â€¢ Diagnóstico: registra diagnóstico, reparación propuesta, costo, plazo, ticket y observaciones.</w:t>
      </w:r>
    </w:p>
    <w:p>
      <w:pPr>
        <w:pStyle w:val="List"/>
        <w:spacing w:after="120"/>
      </w:pPr>
      <w:r>
        <w:t xml:space="preserve">â€¢ Cotización: puede adjuntar un PDF, imagen, DOC o DOCX; el backend valida extensión, MIME, firma y tamaño.</w:t>
      </w:r>
    </w:p>
    <w:p>
      <w:pPr>
        <w:pStyle w:val="List"/>
        <w:spacing w:after="120"/>
      </w:pPr>
      <w:r>
        <w:t xml:space="preserve">â€¢ Decisión: permite aprobar, rechazar o dar de baja según el estado y el motivo.</w:t>
      </w:r>
    </w:p>
    <w:p>
      <w:pPr>
        <w:pStyle w:val="List"/>
        <w:spacing w:after="120"/>
      </w:pPr>
      <w:r>
        <w:t xml:space="preserve">â€¢ Equipo temporal: se entrega solo si cumple las condiciones del proceso y debe devolverse antes de cerrar.</w:t>
      </w:r>
    </w:p>
    <w:p>
      <w:pPr>
        <w:pStyle w:val="List"/>
        <w:spacing w:after="120"/>
      </w:pPr>
      <w:r>
        <w:t xml:space="preserve">â€¢ Cierre: exige fecha de retorno, costo final, resultado y estado final: operativo, sin reparación o baja.</w:t>
      </w:r>
    </w:p>
    <w:p>
      <w:pPr>
        <w:pStyle w:val="Normal"/>
        <w:spacing w:after="120"/>
      </w:pPr>
      <w:r>
        <w:t xml:space="preserve">Los estados se muestran como etiquetas de negocio, pero las reglas usan códigos como DISPONIBLE, ASIGNADO, SERVICIO_TECNICO, RETENIDO_REVISION, EXTRAVIADO y DADO_BAJA. Consulte el detalle y el historial cuando una operación no esté disponible.</w:t>
      </w:r>
    </w:p>
    <w:p>
      <w:pPr>
        <w:pStyle w:val="Normal"/>
        <w:spacing w:after="120"/>
      </w:pPr>
      <w:r>
        <w:t xml:space="preserve">Las pantallas de inventario, colaboradores, SIM, offboarding y servicio técnico incluyen búsquedas o filtros según el módulo. Un resultado vacío no significa que el registro no exista: revise filtros activos, paginación y permisos.</w:t>
      </w:r>
    </w:p>
    <w:tbl>
      <w:tblPr>
        <w:tblW w:w="0" w:type="auto"/>
        <w:tblBorders>
          <w:top w:val="single" w:sz="4" w:color="CBD3DF"/>
          <w:left w:val="single" w:sz="4" w:color="CBD3DF"/>
          <w:bottom w:val="single" w:sz="4" w:color="CBD3DF"/>
          <w:right w:val="single" w:sz="4" w:color="CBD3DF"/>
          <w:insideH w:val="single" w:sz="4" w:color="CBD3DF"/>
          <w:insideV w:val="single" w:sz="4" w:color="CBD3DF"/>
        </w:tblBorders>
      </w:tblPr>
      <w:tblGrid>
        <w:gridCol w:w="2000"/>
        <w:gridCol w:w="2000"/>
        <w:gridCol w:w="2000"/>
      </w:tblGrid>
      <w:tr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Formulario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Campos críticos comprobados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Validación o regla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Login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Correo y credencial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Sesión válida, cuenta activa y credenciales vigentes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Usuario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Nombre, correo, rol y estado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Solo SUPER_USUARIO administra; roles definidos por catálogo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Dispositivo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Tipo, identificadores y datos exigidos por el tipo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Unicidad, formato, estado y custodia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Servicio técnico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Fecha, proveedor, tipo, falla y responsable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No duplicar orden abierta; estado compatible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Diagnóstico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Diagnóstico, reparación, monto y responsable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Monto no negativo y orden pendiente de diagnóstico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Cierre técnico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Fecha, costo, resultado, estado final y responsable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Equipo temporal cerrado y estado de orden válido</w:t>
            </w:r>
          </w:p>
        </w:tc>
      </w:tr>
    </w:tbl>
    <w:p>
      <w:pPr>
        <w:pStyle w:val="Normal"/>
        <w:spacing w:after="120"/>
      </w:pPr>
      <w:r>
        <w:t xml:space="preserve">Los mensajes del backend pueden incluir AUTH_REQUIRED, INVALID_SESSION, FORBIDDEN, READ_ONLY, VALIDATION_ERROR, CONFLICT y NOT_FOUND. El mensaje visible es informativo; el código HTTP y la auditoría son la evidencia técnica.</w:t>
      </w:r>
    </w:p>
    <w:p>
      <w:pPr>
        <w:pStyle w:val="Normal"/>
        <w:spacing w:after="120"/>
      </w:pPr>
      <w:r>
        <w:t xml:space="preserve">Use Cerrar sesión en el encabezado. Si la sesión vence por inactividad, vuelva a iniciar sesión. Si aparece READ_ONLY, consulte la información sin intentar guardar. Si una operación indica conflicto, revise el estado del activo, custodia vigente, orden técnica abierta o proceso de offboarding pendiente.</w:t>
      </w:r>
    </w:p>
    <w:tbl>
      <w:tblPr>
        <w:tblW w:w="0" w:type="auto"/>
        <w:tblBorders>
          <w:top w:val="single" w:sz="4" w:color="CBD3DF"/>
          <w:left w:val="single" w:sz="4" w:color="CBD3DF"/>
          <w:bottom w:val="single" w:sz="4" w:color="CBD3DF"/>
          <w:right w:val="single" w:sz="4" w:color="CBD3DF"/>
          <w:insideH w:val="single" w:sz="4" w:color="CBD3DF"/>
          <w:insideV w:val="single" w:sz="4" w:color="CBD3DF"/>
        </w:tblBorders>
      </w:tblPr>
      <w:tblGrid>
        <w:gridCol w:w="2000"/>
        <w:gridCol w:w="2000"/>
      </w:tblGrid>
      <w:tr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Situación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Solución operativa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La pantalla vuelve a Login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Revisar sesión, actividad y disponibilidad del backend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El botón de guardar está deshabilitado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Completar campos obligatorios y revisar validaciones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Perfil solo lectura ve una consulta pero no guarda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Es el comportamiento esperado; solicitar cambio de rol al superusuario si corresponde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No se puede enviar a servicio técnico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Revisar estado terminal, orden abierta o datos obligatorios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PDF no abre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Reintentar la descarga, revisar la sesión y reportar el código de respuesta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No aparece un registro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Limpiar filtros y confirmar permisos</w:t>
            </w:r>
          </w:p>
        </w:tc>
      </w:tr>
    </w:tbl>
    <w:tbl>
      <w:tblPr>
        <w:tblW w:w="0" w:type="auto"/>
        <w:tblBorders>
          <w:top w:val="single" w:sz="4" w:color="CBD3DF"/>
          <w:left w:val="single" w:sz="4" w:color="CBD3DF"/>
          <w:bottom w:val="single" w:sz="4" w:color="CBD3DF"/>
          <w:right w:val="single" w:sz="4" w:color="CBD3DF"/>
          <w:insideH w:val="single" w:sz="4" w:color="CBD3DF"/>
          <w:insideV w:val="single" w:sz="4" w:color="CBD3DF"/>
        </w:tblBorders>
      </w:tblPr>
      <w:tblGrid>
        <w:gridCol w:w="2000"/>
        <w:gridCol w:w="2000"/>
      </w:tblGrid>
      <w:tr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Término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Significado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Activo o dispositivo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Equipo inventariado y trazable por ITAM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Custodia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Relación vigente del equipo con una persona o departamento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ITAM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Identificador o sistema de gestión de activos tecnológicos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OT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Orden de trabajo de servicio técnico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Solo lectura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Rol que puede consultar pero no ejecutar mutaciones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SIM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Tarjeta de identificación del abonado móvil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Offboarding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Proceso de salida de una persona y recuperación de sus activos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Historial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Registro de eventos y cambios asociados a un activo</w:t>
            </w:r>
          </w:p>
        </w:tc>
      </w:tr>
    </w:tbl>
    <w:tbl>
      <w:tblPr>
        <w:tblW w:w="0" w:type="auto"/>
        <w:tblBorders>
          <w:top w:val="single" w:sz="4" w:color="CBD3DF"/>
          <w:left w:val="single" w:sz="4" w:color="CBD3DF"/>
          <w:bottom w:val="single" w:sz="4" w:color="CBD3DF"/>
          <w:right w:val="single" w:sz="4" w:color="CBD3DF"/>
          <w:insideH w:val="single" w:sz="4" w:color="CBD3DF"/>
          <w:insideV w:val="single" w:sz="4" w:color="CBD3DF"/>
        </w:tblBorders>
      </w:tblPr>
      <w:tblGrid>
        <w:gridCol w:w="2000"/>
        <w:gridCol w:w="2000"/>
        <w:gridCol w:w="2000"/>
      </w:tblGrid>
      <w:tr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Tema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Evidencia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Estado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Rutas y navegación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frontend/src/app/app.routes.ts y features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Roles y solo lectura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backend/src/shared/auth.middleware.ts, auth-context.ts y guards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PDFs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backend/src/modules/*/*.pdf.ts y rutas de PDF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Usuario productivo y pruebas con usuarios reales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No ejecutado en esta validación documental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Pendiente de validar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DNS, firewall, backups y certificados productivos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No se leyó configuración del servidor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Pendiente de validar en servidor</w:t>
            </w:r>
          </w:p>
        </w:tc>
      </w:tr>
    </w:tbl>
    <w:p>
      <w:pPr>
        <w:pStyle w:val="Footer"/>
        <w:spacing w:after="120"/>
        <w:jc w:val="center"/>
      </w:pPr>
      <w:r>
        <w:t xml:space="preserve">Aguas San Isidro | Documentacion tecnica y operativa</w:t>
      </w:r>
    </w:p>
    <w:sectPr>
      <w:pgSz w:w="11906" w:h="16838"/>
      <w:pgMar w:top="1020" w:right="1020" w:bottom="850" w:left="10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101B39"/>
    </w:rPr>
  </w:style>
  <w:style w:type="paragraph" w:styleId="Title">
    <w:name w:val="Title"/>
    <w:basedOn w:val="Normal"/>
    <w:pPr>
      <w:jc w:val="center"/>
    </w:pPr>
    <w:rPr>
      <w:rFonts w:ascii="Arial" w:hAnsi="Arial"/>
      <w:b/>
      <w:sz w:val="44"/>
      <w:color w:val="001B5E"/>
    </w:rPr>
  </w:style>
  <w:style w:type="paragraph" w:styleId="Subtitle">
    <w:name w:val="Subtitle"/>
    <w:basedOn w:val="Normal"/>
    <w:pPr>
      <w:jc w:val="center"/>
    </w:pPr>
    <w:rPr>
      <w:rFonts w:ascii="Arial" w:hAnsi="Arial"/>
      <w:b/>
      <w:sz w:val="36"/>
      <w:color w:val="001B5E"/>
    </w:rPr>
  </w:style>
  <w:style w:type="paragraph" w:styleId="Heading1">
    <w:name w:val="Heading 1"/>
    <w:basedOn w:val="Normal"/>
    <w:next w:val="Normal"/>
    <w:rPr>
      <w:b/>
      <w:sz w:val="30"/>
      <w:color w:val="001B5E"/>
    </w:rPr>
  </w:style>
  <w:style w:type="paragraph" w:styleId="Heading2">
    <w:name w:val="Heading 2"/>
    <w:basedOn w:val="Normal"/>
    <w:rPr>
      <w:b/>
      <w:sz w:val="26"/>
      <w:color w:val="001B5E"/>
    </w:rPr>
  </w:style>
  <w:style w:type="paragraph" w:styleId="Heading3">
    <w:name w:val="Heading 3"/>
    <w:basedOn w:val="Normal"/>
    <w:rPr>
      <w:b/>
      <w:sz w:val="23"/>
      <w:color w:val="006B9B"/>
    </w:rPr>
  </w:style>
  <w:style w:type="paragraph" w:styleId="List">
    <w:name w:val="List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17"/>
    </w:rPr>
  </w:style>
  <w:style w:type="paragraph" w:styleId="Footer">
    <w:name w:val="Footer"/>
    <w:basedOn w:val="Normal"/>
    <w:pPr>
      <w:jc w:val="center"/>
    </w:pPr>
    <w:rPr>
      <w:sz w:val="16"/>
      <w:color w:val="77849A"/>
    </w:rPr>
  </w:style>
</w:styles>
</file>

<file path=word/_rels/document.xml.rels><?xml version="1.0" encoding="UTF-8" standalone="yes"?><Relationships xmlns="http://schemas.openxmlformats.org/package/2006/relationships"><Relationship Id="rIdImage" Type="http://schemas.openxmlformats.org/officeDocument/2006/relationships/image" Target="media/image1.jpg"/></Relationships>
</file>