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Quadro 1: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Composição dos vetores de choque dos cenários principais e atribuição do S38 na MIP desagregada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987"/>
        <w:gridCol w:w="618"/>
        <w:gridCol w:w="618"/>
        <w:gridCol w:w="1635"/>
        <w:gridCol w:w="1111"/>
        <w:gridCol w:w="804"/>
        <w:gridCol w:w="1692"/>
        <w:gridCol w:w="1606"/>
      </w:tblGrid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Região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Código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Setor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Participação no choque (%)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Valor do choque (R$ milhões)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Função no cenário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Setor na MIP desagregada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1.000,0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Expansão agregada do setor energético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Distribuição e comercialização de energia elétrica (97,5%) e Gás canalizado e outras utilidades (2,5%), pela composição da demanda final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Componente energético agregado associado à implantação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(S38_EOL)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S31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máquinas e equipamentos elétricos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Equipamentos elétricos e componentes de conexão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S29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produtos de metal, exceto máquinas e equipamentos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Estruturas metálicas e componentes físicos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S40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Construção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Obras civis, fundações e instalação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de equipamentos e insumos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S56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Serviços de arquitetura, engenharia, testes/análises técnicas e P&amp;D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Engenharia, projetos, testes e P&amp;D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Energia/gás e utilidades associadas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 (93,4%) e Geração a gás natural (6,6%), pelo VBP de 2019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Logística e transporte associados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  <w:tr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S19</w:t>
            </w:r>
          </w:p>
        </w:tc>
        <w:tc>
          <w:tcPr>
            <w:tcW w:type="dxa" w:w="16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Refino de petróleo e coquerias</w:t>
            </w:r>
          </w:p>
        </w:tc>
        <w:tc>
          <w:tcPr>
            <w:tcW w:type="dxa" w:w="111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40,0</w:t>
            </w:r>
          </w:p>
        </w:tc>
        <w:tc>
          <w:tcPr>
            <w:tcW w:type="dxa" w:w="8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400,0</w:t>
            </w:r>
          </w:p>
        </w:tc>
        <w:tc>
          <w:tcPr>
            <w:tcW w:type="dxa" w:w="16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Processamento e oferta de combustíveis fósseis</w:t>
            </w:r>
          </w:p>
        </w:tc>
        <w:tc>
          <w:tcPr>
            <w:tcW w:type="dxa" w:w="160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igual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de setores do RS. Na MIP desagregada, o S38 da energia elétrica agregada é repartido entre distribuição e gás canalizado na proporção das vendas de cada subsetor à demanda final do RS; o das cestas renováveis vai para a geração eólica; o das cestas fósseis, para a geração a carvão mineral e a gás natural do RS na proporção do VBP de 2019 de cada uma.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1: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Impactos econômicos e ambientais dos cenários energéticos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3471"/>
        <w:gridCol w:w="1342"/>
        <w:gridCol w:w="1243"/>
        <w:gridCol w:w="1474"/>
        <w:gridCol w:w="1541"/>
      </w:tblGrid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bruta induzida (R$ milhões)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totais (t CO₂e)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carbônica (t CO₂e/R$ milhão)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bruta por mil t CO₂e (R$ milhões)</w:t>
            </w:r>
          </w:p>
        </w:tc>
      </w:tr>
      <w:tr>
        <w:tc>
          <w:tcPr>
            <w:tcW w:type="dxa" w:w="9071"/>
            <w:gridSpan w:val="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1.908,1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383.253,7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1.845,2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19,3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1.997,1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2.026.202,2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1,0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Diferença de emissões incorporadas (fóssil − renovável)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1.930.831,2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Redução da intensidade carbônica (%)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94,9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9071"/>
            <w:gridSpan w:val="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B — MIP original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1.925,0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428.113,5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222,4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4,5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1.959,4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216.407,0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110,4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9,1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2.120,6</w:t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356.045,7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167,9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6,0</w:t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Diferença de emissões incorporadas (fóssil − renovável)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139.638,8</w:t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34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Redução da intensidade carbônica (%)</w:t>
            </w:r>
          </w:p>
        </w:tc>
        <w:tc>
          <w:tcPr>
            <w:tcW w:type="dxa" w:w="134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2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34,2</w:t>
            </w:r>
          </w:p>
        </w:tc>
        <w:tc>
          <w:tcPr>
            <w:tcW w:type="dxa" w:w="15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do RS. A redução da intensidade carbônica é a da cesta renovável em relação à cesta fóssil, em % da intensidade da cesta fóssil.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2: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Principais setores responsáveis pelas emissões induzidas pela cesta renovável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833"/>
        <w:gridCol w:w="735"/>
        <w:gridCol w:w="735"/>
        <w:gridCol w:w="3292"/>
        <w:gridCol w:w="1126"/>
        <w:gridCol w:w="1028"/>
        <w:gridCol w:w="1322"/>
      </w:tblGrid>
      <w:tr>
        <w:tc>
          <w:tcPr>
            <w:tcW w:type="dxa" w:w="83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Ranking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Região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Código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Setor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induzida (R$ milhões)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induzidas (t CO₂e)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Participação (%)</w:t>
            </w:r>
          </w:p>
        </w:tc>
      </w:tr>
      <w:tr>
        <w:tc>
          <w:tcPr>
            <w:tcW w:type="dxa" w:w="9071"/>
            <w:gridSpan w:val="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83,9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35.418,9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37,1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S27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Siderurgia e tubos de aço sem costura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45,9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11.166,8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11,7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S26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produtos de minerais não metálicos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6.799,0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7,1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14,7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6.567,0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6,9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S28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Metalurgia de metais não ferrosos e fundição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33,9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5.049,7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5,3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S39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Água, esgoto e gestão de resíduos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4,6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4.524,1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4,7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S03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florestal, pesca e aquicultura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1,0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3.030,2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3,2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S01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Agricultura e apoio à agricultura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3,4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2.537,3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S02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Pecuária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2.514,7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S19</w:t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Refino de petróleo e coquerias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35,4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2.038,0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2,1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Demais setores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1.606,9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15.725,3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Total</w:t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1.845,2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</w:tr>
      <w:tr>
        <w:tc>
          <w:tcPr>
            <w:tcW w:type="dxa" w:w="83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3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29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Memória: subsetores do S38 (RS e RB)</w:t>
            </w:r>
          </w:p>
        </w:tc>
        <w:tc>
          <w:tcPr>
            <w:tcW w:type="dxa" w:w="112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373,1</w:t>
            </w:r>
          </w:p>
        </w:tc>
        <w:tc>
          <w:tcPr>
            <w:tcW w:type="dxa" w:w="102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4.997,8</w:t>
            </w:r>
          </w:p>
        </w:tc>
        <w:tc>
          <w:tcPr>
            <w:tcW w:type="dxa" w:w="132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5,2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 de R$ 1.000 milhões na demanda final do RS (cesta renovável base); o S38 da cesta foi atribuído à geração eólica do RS. A linha de memória soma os 22 subsetores do S38 (11 em cada região) e não entra no total.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3: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Spillovers ambientais entre o Rio Grande do Sul e o Restante do Brasil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3011"/>
        <w:gridCol w:w="1326"/>
        <w:gridCol w:w="1452"/>
        <w:gridCol w:w="1578"/>
        <w:gridCol w:w="1704"/>
      </w:tblGrid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Região impactada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induzida (R$ milhões)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induzidas (t CO₂e)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Participação nas emissões (%)</w:t>
            </w:r>
          </w:p>
        </w:tc>
      </w:tr>
      <w:tr>
        <w:tc>
          <w:tcPr>
            <w:tcW w:type="dxa" w:w="9071"/>
            <w:gridSpan w:val="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1.384,2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283.644,1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74,0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524,0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99.609,6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26,0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1.364,6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43.833,7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46,0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480,5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51.537,3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54,0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1.333,2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1.971.586,1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97,3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663,8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54.616,1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</w:t>
            </w:r>
          </w:p>
        </w:tc>
      </w:tr>
      <w:tr>
        <w:tc>
          <w:tcPr>
            <w:tcW w:type="dxa" w:w="9071"/>
            <w:gridSpan w:val="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B — MIP original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1.357,0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339.326,4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79,3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568,0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88.787,1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20,7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1.391,3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142.390,0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65,8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568,0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74.016,9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34,2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1.373,2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277.141,4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77,8</w:t>
            </w:r>
          </w:p>
        </w:tc>
      </w:tr>
      <w:tr>
        <w:tc>
          <w:tcPr>
            <w:tcW w:type="dxa" w:w="30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fóssil RS</w:t>
            </w:r>
          </w:p>
        </w:tc>
        <w:tc>
          <w:tcPr>
            <w:tcW w:type="dxa" w:w="132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14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747,3</w:t>
            </w:r>
          </w:p>
        </w:tc>
        <w:tc>
          <w:tcPr>
            <w:tcW w:type="dxa" w:w="15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78.904,3</w:t>
            </w:r>
          </w:p>
        </w:tc>
        <w:tc>
          <w:tcPr>
            <w:tcW w:type="dxa" w:w="1704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22,2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do RS; RB = Restante do Brasil.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4: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Sensibilidade dos resultados à composição dos vetores de choque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2761"/>
        <w:gridCol w:w="1400"/>
        <w:gridCol w:w="1296"/>
        <w:gridCol w:w="1538"/>
        <w:gridCol w:w="1089"/>
        <w:gridCol w:w="986"/>
      </w:tblGrid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bruta induzida (R$ milhões)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totais (t CO₂e)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carbônica (t CO₂e/R$ milhão)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indiretas (%)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no RB (%)</w:t>
            </w:r>
          </w:p>
        </w:tc>
      </w:tr>
      <w:tr>
        <w:tc>
          <w:tcPr>
            <w:tcW w:type="dxa" w:w="9070"/>
            <w:gridSpan w:val="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1.845,2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77,7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54,0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1.857,0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149.558,1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80,5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52,9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33,8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1.912,2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108.198,6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56,6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80,4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57,4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1.788,1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128.646,3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71,9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50,7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31,2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1.997,1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2.026.202,2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1.992,9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1.972.315,4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989,7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4,4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1.897,5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2.761.423,7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1.455,3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1,7</w:t>
            </w:r>
          </w:p>
        </w:tc>
      </w:tr>
      <w:tr>
        <w:tc>
          <w:tcPr>
            <w:tcW w:type="dxa" w:w="9070"/>
            <w:gridSpan w:val="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B — MIP original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1.959,4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216.407,0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110,4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51,5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34,2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1.920,4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216.987,2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113,0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46,1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29,1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1.969,2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169.090,0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85,9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62,7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43,5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 (a)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1.959,5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309.794,9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158,1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39,0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23,8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2.120,6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356.045,7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167,9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35,3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22,2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2.110,5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381.702,9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180,9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32,9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19,7</w:t>
            </w:r>
          </w:p>
        </w:tc>
      </w:tr>
      <w:tr>
        <w:tc>
          <w:tcPr>
            <w:tcW w:type="dxa" w:w="276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2.073,9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375.427,3</w:t>
            </w:r>
          </w:p>
        </w:tc>
        <w:tc>
          <w:tcPr>
            <w:tcW w:type="dxa" w:w="153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181,0</w:t>
            </w:r>
          </w:p>
        </w:tc>
        <w:tc>
          <w:tcPr>
            <w:tcW w:type="dxa" w:w="108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35,0</w:t>
            </w:r>
          </w:p>
        </w:tc>
        <w:tc>
          <w:tcPr>
            <w:tcW w:type="dxa" w:w="98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21,5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do RS; vetores na Tabela A1.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(a) Vetor da Tabela A1 (45/15/10/10/15/5).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5: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Sensibilidade à tecnologia atribuída ao S38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1858"/>
        <w:gridCol w:w="2385"/>
        <w:gridCol w:w="998"/>
        <w:gridCol w:w="1029"/>
        <w:gridCol w:w="1155"/>
        <w:gridCol w:w="865"/>
        <w:gridCol w:w="782"/>
      </w:tblGrid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Atribuição do S38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bruta induzida (R$ milhões)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totais (t CO₂e)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carbônica (t CO₂e/R$ milhão)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indiretas (%)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no RB (%)</w:t>
            </w:r>
          </w:p>
        </w:tc>
      </w:tr>
      <w:tr>
        <w:tc>
          <w:tcPr>
            <w:tcW w:type="dxa" w:w="9072"/>
            <w:gridSpan w:val="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100%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1.845,2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77,7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54,0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50% + solar 50%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1.839,8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95.171,6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77,7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54,0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2/3 + transmissão 1/3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1.822,9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95.139,9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52,2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77,6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53,9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100%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1.857,0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149.558,1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80,5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52,9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33,8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50% + solar 50%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1.854,0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149.447,3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80,6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52,8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33,7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2/3 + transmissão 1/3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1.844,6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149.429,7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81,0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52,8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33,7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100%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1.912,2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108.198,6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56,6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80,4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57,4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50% + solar 50%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1.909,6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108.098,9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56,6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80,3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57,4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2/3 + transmissão 1/3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1.901,1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108.083,1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80,3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57,4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100%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1.788,1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128.646,3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71,9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50,7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31,2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50% + solar 50%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1.780,0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128.347,2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72,1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50,6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31,0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 2/3 + transmissão 1/3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1.754,7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128.299,7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73,1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50,4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30,9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Carvão mineral e gás natural ∝ VBP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1.997,1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2.026.202,2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1.976,7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2.114.151,8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1.069,5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3,9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2,5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gás natural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2.285,7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778.840,7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340,7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13,0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9,6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Carvão mineral e gás natural ∝ VBP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1.992,9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1.972.315,4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989,7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4,4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1.973,5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2.056.076,9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1.041,8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4,1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2,5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gás natural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2.267,8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784.352,0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345,9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13,1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9,1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Carvão mineral e gás natural ∝ VBP (principal)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1.897,5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2.761.423,7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1.455,3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1,7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1.868,4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2.887.066,0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1.545,2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2,4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</w:t>
            </w:r>
          </w:p>
        </w:tc>
      </w:tr>
      <w:tr>
        <w:tc>
          <w:tcPr>
            <w:tcW w:type="dxa" w:w="185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23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gás natural 100%</w:t>
            </w:r>
          </w:p>
        </w:tc>
        <w:tc>
          <w:tcPr>
            <w:tcW w:type="dxa" w:w="99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2.309,9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979.478,6</w:t>
            </w:r>
          </w:p>
        </w:tc>
        <w:tc>
          <w:tcPr>
            <w:tcW w:type="dxa" w:w="11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424,0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9,9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7,6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do RS. A atribuição muda só a parcela do S38 de cada cesta; os demais setores do vetor não mudam. Solar: subsetor sem produção no RS em 2019 (latente), com os coeficientes técnicos do RB e a TUST do RS.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6: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Emissões por tecnologia de geração do 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1217"/>
        <w:gridCol w:w="543"/>
        <w:gridCol w:w="803"/>
        <w:gridCol w:w="1029"/>
        <w:gridCol w:w="876"/>
        <w:gridCol w:w="1029"/>
        <w:gridCol w:w="700"/>
        <w:gridCol w:w="782"/>
        <w:gridCol w:w="1029"/>
        <w:gridCol w:w="1062"/>
      </w:tblGrid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Tecnologia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Preço médio (R$/MWh)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induzida por TWh (R$ milhões)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diretas por TWh (t CO₂e)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indiretas por TWh (t CO₂e)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totais por TWh (t CO₂e)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g CO₂e/kWh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no RB (%)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por R$ 1 bilhão (t CO₂e)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evitadas por TWh em relação ao carvão (t CO₂e)</w:t>
            </w:r>
          </w:p>
        </w:tc>
      </w:tr>
      <w:tr>
        <w:tc>
          <w:tcPr>
            <w:tcW w:type="dxa" w:w="9070"/>
            <w:gridSpan w:val="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 (versão final)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Hidrelétrica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175,3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272,3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4.627,1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4.627,1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4,6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54,8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26.391,5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1.437.533,4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Eólica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182,4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281,6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4.787,8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4.787,8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4,8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26.246,9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1.437.372,7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Solar fotovoltaica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200,8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302,8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5.003,3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5.003,3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53,0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24.917,7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1.437.157,3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Biomassa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217,1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340,3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49,5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8.759,6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8.809,0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8,8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68,9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40.583,5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1.433.351,5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Gás natural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280,5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672,4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436.436,9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22.581,7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459.018,6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459,0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4,7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1.636.355,7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983.141,9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Carvão mineral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264,5</w:t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400,5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1.434.683,4</w:t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7.477,1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1.442.160,5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1.442,2</w:t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0,3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5.451.530,5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2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Distribuição (eletricidade da rede, mix de 2019)</w:t>
            </w:r>
          </w:p>
        </w:tc>
        <w:tc>
          <w:tcPr>
            <w:tcW w:type="dxa" w:w="54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80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8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8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387.680,1</w:t>
            </w:r>
          </w:p>
        </w:tc>
        <w:tc>
          <w:tcPr>
            <w:tcW w:type="dxa" w:w="106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 de 1 TWh (ao preço médio de 2019) e de R$ 1 bilhão na demanda final de cada subsetor de geração do RS. Emissões da operação (produção de energia elétrica); não incluem bens de capital (implantação das usinas). Solar: subsetor sem produção no RS em 2019 (latente), com os coeficientes técnicos do RB e a TUST do RS.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7: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Efeito da desagregação: MIP original, S38 desagregado sem e com atribuição de tecnologia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2985"/>
        <w:gridCol w:w="1278"/>
        <w:gridCol w:w="1278"/>
        <w:gridCol w:w="1401"/>
        <w:gridCol w:w="1065"/>
        <w:gridCol w:w="1065"/>
      </w:tblGrid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A0 (t CO₂e)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A1 (t CO₂e)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A2 (t CO₂e)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Variação A1/A0 (%)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Variação A2/A0 (%)</w:t>
            </w:r>
          </w:p>
        </w:tc>
      </w:tr>
      <w:tr>
        <w:tc>
          <w:tcPr>
            <w:tcW w:type="dxa" w:w="9072"/>
            <w:gridSpan w:val="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Parte 1 — Emissões totais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428.113,5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383.253,7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383.253,7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−10,5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−10,5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216.407,0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202.473,0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−6,4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−55,9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216.987,2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209.059,2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149.558,1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−3,7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−31,1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169.090,0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161.749,6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108.198,6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−4,3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−36,0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309.794,9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289.299,3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128.646,3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−6,6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−58,5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356.045,7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340.254,9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2.026.202,2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−4,4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469,1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381.702,9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366.651,4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1.972.315,4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−3,9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416,7</w:t>
            </w:r>
          </w:p>
        </w:tc>
      </w:tr>
      <w:tr>
        <w:tc>
          <w:tcPr>
            <w:tcW w:type="dxa" w:w="298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375.427,3</w:t>
            </w:r>
          </w:p>
        </w:tc>
        <w:tc>
          <w:tcPr>
            <w:tcW w:type="dxa" w:w="127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352.927,6</w:t>
            </w:r>
          </w:p>
        </w:tc>
        <w:tc>
          <w:tcPr>
            <w:tcW w:type="dxa" w:w="140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2.761.423,7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−6,0</w:t>
            </w:r>
          </w:p>
        </w:tc>
        <w:tc>
          <w:tcPr>
            <w:tcW w:type="dxa" w:w="10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635,5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2637"/>
        <w:gridCol w:w="1237"/>
        <w:gridCol w:w="1237"/>
        <w:gridCol w:w="1039"/>
        <w:gridCol w:w="1039"/>
        <w:gridCol w:w="941"/>
        <w:gridCol w:w="941"/>
      </w:tblGrid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A0 (t CO₂e/R$ milhão)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A2 (t CO₂e/R$ milhão)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indiretas A0 (%)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indiretas A2 (%)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no RB A0 (%)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no RB A2 (%)</w:t>
            </w:r>
          </w:p>
        </w:tc>
      </w:tr>
      <w:tr>
        <w:tc>
          <w:tcPr>
            <w:tcW w:type="dxa" w:w="9071"/>
            <w:gridSpan w:val="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Parte 2 — Intensidade carbônica, emissões indiretas e emissões no RB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222,4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34,9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66,0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20,7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26,0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110,4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51,5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77,7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34,2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54,0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balanceada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113,0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80,5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46,1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52,9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29,1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33,8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infraestrutura-intensiva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85,9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56,6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62,7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80,4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43,5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57,4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158,1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71,9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39,0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50,7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23,8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31,2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167,9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35,3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22,2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balanceada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180,9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989,7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32,9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4,4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19,7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</w:tr>
      <w:tr>
        <w:tc>
          <w:tcPr>
            <w:tcW w:type="dxa" w:w="26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energia-intensiva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181,0</w:t>
            </w:r>
          </w:p>
        </w:tc>
        <w:tc>
          <w:tcPr>
            <w:tcW w:type="dxa" w:w="123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1.455,3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35,0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21,5</w:t>
            </w:r>
          </w:p>
        </w:tc>
        <w:tc>
          <w:tcPr>
            <w:tcW w:type="dxa" w:w="9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1,7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A0 = MIP original; A1 = MIP desagregada, com o S38 do vetor repartido entre distribuição e gás canalizado pela composição da demanda final; A2 = MIP desagregada, com o S38 atribuído a tecnologias (Quadro 1). Na energia elétrica agregada, A1 e A2 coincidem.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A1: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Vetores de choque das cestas (participação de cada setor no choque, %)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618"/>
        <w:gridCol w:w="1914"/>
        <w:gridCol w:w="865"/>
        <w:gridCol w:w="947"/>
        <w:gridCol w:w="1276"/>
        <w:gridCol w:w="1023"/>
        <w:gridCol w:w="618"/>
        <w:gridCol w:w="947"/>
        <w:gridCol w:w="865"/>
      </w:tblGrid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Código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Setor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Renovável base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Renovável balanceada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Renovável infraestrutura-intensiva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Renovável energia/transporte-intensiva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Fóssil base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Fóssil balanceada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Fóssil energia-intensiva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S31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máquinas e equipamentos elétricos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S29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produtos de metal, exceto máquinas e equipamentos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S40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Construção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S56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Serviços de arquitetura, engenharia, testes/análises técnicas e P&amp;D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S19</w:t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Refino de petróleo e coquerias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914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Total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127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102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61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94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choques de R$ 1.000 milhões na demanda final do RS. Renovável energia/transporte-intensiva: vetor 45/15/10/10/15/5. No A2 (MIP desagregada), a parcela do S38 das cestas renováveis vai para a geração eólica do RS, e a das cestas fósseis para a geração a carvão mineral (93,4%) e a gás natural (6,6%) do RS, na proporção do VBP de 2019.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A2: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Principais setores responsáveis pelas emissões induzidas pela cesta renovável na MIP original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799"/>
        <w:gridCol w:w="705"/>
        <w:gridCol w:w="705"/>
        <w:gridCol w:w="3525"/>
        <w:gridCol w:w="1081"/>
        <w:gridCol w:w="987"/>
        <w:gridCol w:w="1268"/>
      </w:tblGrid>
      <w:tr>
        <w:tc>
          <w:tcPr>
            <w:tcW w:type="dxa" w:w="79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Ranking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Região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Código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Setor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Produção induzida (R$ milhões)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induzidas (t CO₂e)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Participação (%)</w:t>
            </w:r>
          </w:p>
        </w:tc>
      </w:tr>
      <w:tr>
        <w:tc>
          <w:tcPr>
            <w:tcW w:type="dxa" w:w="9070"/>
            <w:gridSpan w:val="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B — MIP original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357,1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99.554,6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46,0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84,1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35.489,9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16,4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elétrica, gás natural e outras utilidades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92,0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23.960,2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11,1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S27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Siderurgia e tubos de aço sem costura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46,8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11.392,4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5,3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S43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Transporte terrestre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16,4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7.311,5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3,4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S26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Fabricação de produtos de minerais não metálicos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15,3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6.949,7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3,2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S28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Metalurgia de metais não ferrosos e fundição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34,1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5.082,2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2,3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S39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Água, esgoto e gestão de resíduos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4,7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4.646,4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2,1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S03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florestal, pesca e aquicultura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1,0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3.085,0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1,4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S01</w:t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Agricultura e apoio à agricultura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3,5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2.649,5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1,2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Demais setores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1.304,3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16.285,6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7,5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Total</w:t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Cesta renovável RS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1.959,4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216.407,0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100,0</w:t>
            </w:r>
          </w:p>
        </w:tc>
      </w:tr>
      <w:tr>
        <w:tc>
          <w:tcPr>
            <w:tcW w:type="dxa" w:w="79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7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52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Memória: S38 (RS e RB)</w:t>
            </w:r>
          </w:p>
        </w:tc>
        <w:tc>
          <w:tcPr>
            <w:tcW w:type="dxa" w:w="108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449,1</w:t>
            </w:r>
          </w:p>
        </w:tc>
        <w:tc>
          <w:tcPr>
            <w:tcW w:type="dxa" w:w="98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123.514,8</w:t>
            </w:r>
          </w:p>
        </w:tc>
        <w:tc>
          <w:tcPr>
            <w:tcW w:type="dxa" w:w="1268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57,1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choque de R$ 1.000 milhões na demanda final do RS (cesta renovável base). A linha de memória soma o S38 das duas regiões e não entra no total.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A3: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Os 11 subsetores do S38 no RS e no RB: produção, preços, emissões e multiplicadores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618"/>
        <w:gridCol w:w="2593"/>
        <w:gridCol w:w="865"/>
        <w:gridCol w:w="865"/>
        <w:gridCol w:w="536"/>
        <w:gridCol w:w="536"/>
        <w:gridCol w:w="536"/>
        <w:gridCol w:w="1193"/>
        <w:gridCol w:w="1330"/>
      </w:tblGrid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Região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Subsetor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VBP (R$ milhões)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GWh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R$/MWh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 CO₂e/MWh (E1)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EOB/VBP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Multiplicador de produção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Multiplicador de emissões (t CO₂e/R$ milhão)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hidrelétrica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2.549,7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14.542,6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175,3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0,515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1,553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26,4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960,8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5.266,9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182,4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0,523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1,544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26,2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solar fotovoltaica (latente)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1,508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24,9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biomassa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14,8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68,2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217,1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0,529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1,568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40,6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694,5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2.625,2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264,5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1,435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0,562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1,514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5.451,5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gás natural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49,0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174,6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280,5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0,436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0,100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2,397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1.636,4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derivados de petróleo (latente)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2,801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1.187,6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nuclear (sem produção)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Transmissão de energia 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1.390,9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0,695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1,321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23,9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Distribuição e comercialização de energia 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14.384,3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0,241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1,897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387,7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Gás canalizado e outras utilidades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898,7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0,100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2,344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213,9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RS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 agregado (MIP original)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20.942,7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0,322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1,925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428,1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hidrelétrica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46.661,0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363.907,4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128,2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0,471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1,510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26,1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eólica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6.761,9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50.687,1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133,4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0,487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1,492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25,8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solar fotovoltaica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999,5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4.978,0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200,8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0,552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1,419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24,7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biomassa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281,3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1.771,8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158,7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0,007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0,488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1,517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81,6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carvão mineral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2.166,4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11.197,8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193,5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0,867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0,433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1,631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4.520,9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gás natural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10.981,9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47.422,4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231,6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0,433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0,100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1,851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1.916,1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a derivados de petróleo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4.066,6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5.174,0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786,0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0,829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0,100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2,760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1.184,2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nuclear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3.075,1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16.129,0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190,7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</w:t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0,532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1,442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25,0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Transmissão de energia 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21.544,7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0,663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1,305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24,4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Distribuição e comercialização de energia elétrica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208.427,9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0,269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1,922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422,6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Gás canalizado e outras utilidades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19.421,0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0,171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1,775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269,8</w:t>
            </w:r>
          </w:p>
        </w:tc>
      </w:tr>
      <w:tr>
        <w:tc>
          <w:tcPr>
            <w:tcW w:type="dxa" w:w="61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RB</w:t>
            </w:r>
          </w:p>
        </w:tc>
        <w:tc>
          <w:tcPr>
            <w:tcW w:type="dxa" w:w="259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 agregado (MIP original)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324.387,3</w:t>
            </w:r>
          </w:p>
        </w:tc>
        <w:tc>
          <w:tcPr>
            <w:tcW w:type="dxa" w:w="86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536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0,320</w:t>
            </w:r>
          </w:p>
        </w:tc>
        <w:tc>
          <w:tcPr>
            <w:tcW w:type="dxa" w:w="1193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1,909</w:t>
            </w:r>
          </w:p>
        </w:tc>
        <w:tc>
          <w:tcPr>
            <w:tcW w:type="dxa" w:w="133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406,3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GWh de 2019 (BEN 2020 e ONS); R$/MWh = VBP ÷ GWh; t CO₂e/MWh pela variante E1. Multiplicador de produção = soma da coluna da inversa de Leontief; multiplicador de emissões = emissões totais (diretas e indiretas) por R$ milhão de demanda final do subsetor. Subsetores latentes: coeficientes técnicos do mesmo subsetor no RB, com a TUST por MWh do RS.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A4: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Fontes de dados da desagregação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2629"/>
        <w:gridCol w:w="2629"/>
        <w:gridCol w:w="1223"/>
        <w:gridCol w:w="2590"/>
      </w:tblGrid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Dado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Fonte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Ano ou versão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Uso na desagregação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Matriz inter-regional de insumo-produto RS-RB e conta-satélite de emissões (CO₂e)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NEREUS/USP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Base da desagregação; todas as restrições de agregação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energia elétrica por fonte (serviço público), Brasil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EPE, Balanço Energético Nacional 2020, Tabela 5.4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 (BEN 2020)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GWh por fonte do Brasil; RB = Brasil − RS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por usina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ONS, dados abertos (geração por usina)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GWh por fonte do RS; MWh no SIN (pesos da TUST da geração)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Encargos de uso do sistema de transmissão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ONS, Síntese da Apuração Mensal dos Serviços e Encargos (SEAMSE)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dez/2018, jun/2019 e dez/2019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VBP da transmissão (ano civil de 2019)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Receita anual permitida da transmissão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ANEEL, REH nº 2.408/2018 e decisão de 25/06/2019 (REH nº 2.565/2019; total por fonte secundária)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ciclos 2018-2019 e 2019-2020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Variante _rap_media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Rateio dos encargos de uso entre geração e consumo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ANEEL, Resolução Normativa nº 559/2013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2013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Parcela da transmissão paga pela geração (50%)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Preços de energia por fonte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ANEEL, resultado dos leilões de geração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leilões até 2019, corrigidos pelo IPCA (IBGE, SIDRA, Tabela 1737)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Participação de cada fonte no VBP da geração (preços P1)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Remunerações e pessoal ocupado por atividade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IBGE, Cadastro Central de Empresas (CEMPRE), SIDRA, Tabela 6450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Repartição de remunerações e ocupações entre geração, transmissão, distribuição e gás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Demonstrações contábeis da Sulgás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Sulgás (publicadas pela CAGE/Sefaz-RS)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VBP do gás canalizado no RS; preço do gás usado no RB; vendas por segmento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Demanda de gás natural por distribuidora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MME, Boletim Mensal de Acompanhamento da Indústria de Gás Natural nº 154 (fonte: Abegás)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dez/2019 (média de 2019)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Volume não térmico do RB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Demonstrações financeiras de distribuidoras de gás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CVM, DFP de Comgás, CEG e Gasmig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Variante _gas4dist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Importações de energia elétrica e gás natural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MDIC, Comex Stat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Importações do S38 (energia)</w:t>
            </w:r>
          </w:p>
        </w:tc>
      </w:tr>
      <w:tr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Emissões de gases de efeito estufa</w:t>
            </w:r>
          </w:p>
        </w:tc>
        <w:tc>
          <w:tcPr>
            <w:tcW w:type="dxa" w:w="26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SEEG 13.0 (Observatório do Clima), GWP-AR5</w:t>
            </w:r>
          </w:p>
        </w:tc>
        <w:tc>
          <w:tcPr>
            <w:tcW w:type="dxa" w:w="122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2019</w:t>
            </w:r>
          </w:p>
        </w:tc>
        <w:tc>
          <w:tcPr>
            <w:tcW w:type="dxa" w:w="259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Níveis por fonte de geração (E1), SF₆, variantes E2 a E4, diagnóstico (Tabela A7)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URLs, datas de acesso, páginas e SHA-256 dos arquivos no registro de fontes do repositório (dados/externos/FONTES.md).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A5: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Parâmetros e hipóteses da desagregação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3022"/>
        <w:gridCol w:w="1191"/>
        <w:gridCol w:w="3046"/>
        <w:gridCol w:w="1812"/>
      </w:tblGrid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Parâmetro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Valor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Fonte ou justificativa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Sensibilidade testada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VBP da transmissão (Brasil)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R$ 22.935,6 milhões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Encargos de uso faturados pelo ONS no ano civil de 2019 (SEAMSE), sem PIS/Pasep e Cofins; repartido entre RS e RB pela participação no VBP do S38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 2019: R$ 24.883,4 milhões (_rap_media)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Parcela da transmissão paga pelo consumo, via distribuição (α); a geração paga 1 − α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Rateio inicial dos encargos de uso: 50% geração e 50% consumo (ANEEL, REN nº 559/2013)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TUST da geração entre as fontes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∝ MWh gerado no SIN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Regra do encargo por uso da rede; sistemas isolados não pagam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TUST das colunas latentes (solar e derivados de petróleo no RS)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32,41 R$/MWh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a mesma TUST por MWh das fontes do RS no SIN, ao preço do espelho do RB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TUST por real do espelho (registro no relatório)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VBP do gás canalizado no RS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R$ 898,7 milhões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Receita líquida da Sulgás em 2019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VBP do gás canalizado no RB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R$ 19.421,0 milhões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preço da Sulgás × volume não térmico do RB (MME/Abegás)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Preço médio de 4 distribuidoras: R$ 26.990,1 milhões (_gas4dist)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Participação máxima do gás canalizado na compra de S38 de cada comprador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0,90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 (teto)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Piso do VBP das térmicas (κ)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0,70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combustível ≤ κ × VBP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κ = 0,60 (_k060)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Excedente operacional bruto mínimo (η)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EOB ≥ η × VBP em cada subsetor (ajuste RAS dos insumos não energéticos)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η = 0,05 (_eta005)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Remunerações e ocupações entre as fontes de geração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∝ VBP − combustível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o combustível é repasse e não exige mão de obra proporcional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Preços da energia por fonte (P1)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leilões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preços relativos dos leilões ajustados à produção da MIP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Preços iguais (P2)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Emissões das usinas (E1)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níveis do SEEG + resíduo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Níveis por fonte do SEEG; o resíduo (base − níveis) vai para distribuição e gás canalizado ∝ VBP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(proporcional ao SEEG), E3 (só níveis), E4 (realocação)</w:t>
            </w:r>
          </w:p>
        </w:tc>
      </w:tr>
      <w:tr>
        <w:tc>
          <w:tcPr>
            <w:tcW w:type="dxa" w:w="302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Subsetores sem produção no RS (solar e derivados de petróleo)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espelho do RB</w:t>
            </w:r>
          </w:p>
        </w:tc>
        <w:tc>
          <w:tcPr>
            <w:tcW w:type="dxa" w:w="304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HIPÓTESE: coeficientes técnicos do mesmo subsetor no RB</w:t>
            </w:r>
          </w:p>
        </w:tc>
        <w:tc>
          <w:tcPr>
            <w:tcW w:type="dxa" w:w="181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A6: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Robustez: resultados da versão principal e das variantes da desagregação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1837"/>
        <w:gridCol w:w="3265"/>
        <w:gridCol w:w="1055"/>
        <w:gridCol w:w="802"/>
        <w:gridCol w:w="1055"/>
        <w:gridCol w:w="1055"/>
      </w:tblGrid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Cenário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Versão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Emissões (t CO₂e)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Desvio das emissões (%)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Intensidade (t CO₂e/R$ milhão)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Desvio da intensidade (%)</w:t>
            </w:r>
          </w:p>
        </w:tc>
      </w:tr>
      <w:tr>
        <w:tc>
          <w:tcPr>
            <w:tcW w:type="dxa" w:w="9069"/>
            <w:gridSpan w:val="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A — MIP com o S38 desagregado: versão principal e 8 variantes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383.253,7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383.253,8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437.947,0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14,3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229,5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14,3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253.058,0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−34,0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132,6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−34,0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263.584,2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−31,2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138,1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−31,2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383.234,7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383.250,4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383.304,7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383.232,9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95.371,0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95.341,9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95.175,6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92.569,0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97.102,7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52,6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95.279,8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95.500,7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−0,3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95.327,7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95.202,5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51,7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2.026.202,2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2.755.249,2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36,0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1.362,0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2.951.716,5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1.478,0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45,7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2.024.744,2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1.013,9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2.070.526,6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1.036,8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2.026.188,1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2.077.383,8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1.036,9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2.024.409,0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2.026.084,0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1.015,4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4.627,1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4.903,6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4.663,6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4.497,6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4.820,9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4.624,9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4.574,4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4.592,3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−0,5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Hidrelétrica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4.528,0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−1,6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4.787,8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4.903,6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4.824,1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4.653,8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4.988,7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4.785,5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4.730,4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4.752,2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−0,4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Eólica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4.683,4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−1,7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5.003,3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3.552,1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−29,0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5.040,3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0,7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4.857,8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5.063,0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5.000,6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4.939,4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−1,3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4.641,8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−7,2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Solar fotovoltaica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4.863,2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8.809,0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8.139,5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−7,6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4,4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8.868,7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0,7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8.627,4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−2,1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9.059,7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8.806,0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8.729,6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0,4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8.770,4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Biomassa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8.688,0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459.018,6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682,7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459.018,6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682,7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682.288,9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48,6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1.014,8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48,6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458.629,1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682,1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478.208,6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711,2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459.009,5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682,7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458.891,9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681,6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−0,2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461.800,5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608,7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−10,8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Gás natural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459.929,3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671,1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−1,7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Principal (versão final)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1.442.160,5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3.600,5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P2 — preços iguais entre as fontes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1.440.413,6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4.820,6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E2 — emissões na proporção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2.176.164,8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5.433,0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50,9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E3 — só os níveis do SEEG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1.441.929,4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3.599,9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E4 — refino, petróleo e gás e carvão fora do S38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1.442.833,9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3.602,2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gas4dist — gás do RB pelo preço de 4 distribuidoras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1.442.155,1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3.600,7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rap_media — transmissão pela RAP 2019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1.442.050,4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3.657,7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1,6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k060 — piso do combustível κ = 0,60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1.442.116,8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3.610,4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0,3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 TWh — Carvão mineral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eta005 — EOB mínimo η = 0,05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1.442.004,2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3.620,1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0,5</w:t>
            </w:r>
          </w:p>
        </w:tc>
      </w:tr>
      <w:tr>
        <w:tc>
          <w:tcPr>
            <w:tcW w:type="dxa" w:w="9069"/>
            <w:gridSpan w:val="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Painel B — MIP original sem e com a realocação de emissões da E4 (A0_E4)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428.113,5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222,4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Energia elétrica agregada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 com a E4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294.095,6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−31,3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152,8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−31,3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216.407,0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110,4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Renovável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 com a E4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177.469,2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−18,0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90,6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−18,0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356.045,7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167,9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183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Fóssil base</w:t>
            </w:r>
          </w:p>
        </w:tc>
        <w:tc>
          <w:tcPr>
            <w:tcW w:type="dxa" w:w="326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MIP original com a E4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351.029,4</w:t>
            </w:r>
          </w:p>
        </w:tc>
        <w:tc>
          <w:tcPr>
            <w:tcW w:type="dxa" w:w="80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−1,4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165,5</w:t>
            </w:r>
          </w:p>
        </w:tc>
        <w:tc>
          <w:tcPr>
            <w:tcW w:type="dxa" w:w="1055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−1,4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desvio em relação à versão principal (Painel A) ou à MIP original (Painel B). Choques de R$ 1.000 milhões (cenários) e de 1 TWh ao preço médio de cada versão (tecnologias). Na E4, emissões do refino, da exploração de petróleo e gás e da mineração de carvão do SEEG saem do S38 e vão para os setores S19, S05 e S04 da mesma região.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matriz inter-regional de insumo-produto RS-RB (NEREUS/USP), com o setor S38 desagregado.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A7: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Emissões do S38 na base NEREUS e componentes do SEEG 13.0 (2019, GWP-AR5)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5621"/>
        <w:gridCol w:w="1029"/>
        <w:gridCol w:w="1271"/>
        <w:gridCol w:w="1150"/>
      </w:tblGrid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Componente (SEEG: atividade › categoria › subcategoria)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RS (mil t CO₂e)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RB (estados) (mil t CO₂e)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Não alocado (mil t CO₂e)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eletricidade › Geração de eletricidade (serviço público)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3.842,6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34.181,1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344,0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eletricidade › demais categorias (autoprodução: indústria, comércio, público, agropecuária)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96,5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2.094,4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4.833,4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eletricidade › Produção de combustíveis › Refino de petróleo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76,1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759,7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496,3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eletricidade › Produção de combustíveis › Exploração de petróleo e gás natural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5.778,2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Geração de eletricidade › Produção de combustíveis › Produção de álcool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412,4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de combustíveis › Refino de petróleo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1.736,0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17.329,1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7.053,5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de combustíveis › Exploração de petróleo e gás natural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17.721,0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53,4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de combustíveis › Produção de carvão mineral e outros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88,1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1.155,4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355,6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Produção de combustíveis › demais (carvão vegetal, álcool, transporte de petróleo e gás)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5.151,2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Soma das duas atividades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5.839,2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79.018,9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18.700,0</w:t>
            </w:r>
          </w:p>
        </w:tc>
      </w:tr>
      <w:tr>
        <w:tc>
          <w:tcPr>
            <w:tcW w:type="dxa" w:w="562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S38 na base NEREUS</w:t>
            </w:r>
          </w:p>
        </w:tc>
        <w:tc>
          <w:tcPr>
            <w:tcW w:type="dxa" w:w="102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5.838,0</w:t>
            </w:r>
          </w:p>
        </w:tc>
        <w:tc>
          <w:tcPr>
            <w:tcW w:type="dxa" w:w="127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84.518,3</w:t>
            </w:r>
          </w:p>
        </w:tc>
        <w:tc>
          <w:tcPr>
            <w:tcW w:type="dxa" w:w="1150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emissões de 'Emissão' e 'Emissão NCI' (não há NCI nessas duas atividades). RB = estados exceto o RS; 'Não alocado' = sem estado. No RS, a soma das duas atividades é compatível com o S38 da base NEREUS, o que é um indício fraco de que a conta-satélite inclua no S38 o refino e a produção de carvão mineral: o RB não fecha pelo mesmo critério, coincidências são esperadas com o número de combinações testadas (Apêndice B) e há uma combinação concorrente que atribui o refino ao S19. Não há documentação da conta-satélite que permita confirmar.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 a partir da base NEREUS/USP e do SEEG 13.0 (Observatório do Clima).</w:t>
      </w:r>
    </w:p>
    <w:p/>
    <w:p>
      <w:pPr>
        <w:keepNext/>
      </w:pPr>
      <w:r>
        <w:rPr>
          <w:rFonts w:ascii="Times New Roman" w:hAnsi="Times New Roman" w:eastAsia="Times New Roman"/>
          <w:b/>
          <w:i w:val="0"/>
          <w:sz w:val="24"/>
        </w:rPr>
        <w:t>Tabela A8: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Testes de consistência da desagregação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45" w:type="dxa"/>
          <w:right w:w="45" w:type="dxa"/>
        </w:tblCellMar>
      </w:tblPr>
      <w:tblGrid>
        <w:gridCol w:w="1511"/>
        <w:gridCol w:w="4586"/>
        <w:gridCol w:w="1017"/>
        <w:gridCol w:w="1957"/>
      </w:tblGrid>
      <w:tr>
        <w:tc>
          <w:tcPr>
            <w:tcW w:type="dxa" w:w="15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Teste</w:t>
            </w:r>
          </w:p>
        </w:tc>
        <w:tc>
          <w:tcPr>
            <w:tcW w:type="dxa" w:w="45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Resultado</w:t>
            </w:r>
          </w:p>
        </w:tc>
        <w:tc>
          <w:tcPr>
            <w:tcW w:type="dxa" w:w="101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Valor</w:t>
            </w:r>
          </w:p>
        </w:tc>
        <w:tc>
          <w:tcPr>
            <w:tcW w:type="dxa" w:w="19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Unidade</w:t>
            </w:r>
          </w:p>
        </w:tc>
      </w:tr>
      <w:tr>
        <w:tc>
          <w:tcPr>
            <w:tcW w:type="dxa" w:w="15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Re-agregação</w:t>
            </w:r>
          </w:p>
        </w:tc>
        <w:tc>
          <w:tcPr>
            <w:tcW w:type="dxa" w:w="45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 soma dos 11 subsetores de cada região reproduz a matriz original (fluxos intermediários, demanda final, produção, valor adicionado e importações)</w:t>
            </w:r>
          </w:p>
        </w:tc>
        <w:tc>
          <w:tcPr>
            <w:tcW w:type="dxa" w:w="101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0,000000</w:t>
            </w:r>
          </w:p>
        </w:tc>
        <w:tc>
          <w:tcPr>
            <w:tcW w:type="dxa" w:w="19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R$ milhões</w:t>
            </w:r>
          </w:p>
        </w:tc>
      </w:tr>
      <w:tr>
        <w:tc>
          <w:tcPr>
            <w:tcW w:type="dxa" w:w="15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Contas-satélite</w:t>
            </w:r>
          </w:p>
        </w:tc>
        <w:tc>
          <w:tcPr>
            <w:tcW w:type="dxa" w:w="45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 soma dos subsetores reproduz as emissões, as ocupações, a água e a energia do S38 original</w:t>
            </w:r>
          </w:p>
        </w:tc>
        <w:tc>
          <w:tcPr>
            <w:tcW w:type="dxa" w:w="101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0,000000</w:t>
            </w:r>
          </w:p>
        </w:tc>
        <w:tc>
          <w:tcPr>
            <w:tcW w:type="dxa" w:w="19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unidades da conta</w:t>
            </w:r>
          </w:p>
        </w:tc>
      </w:tr>
      <w:tr>
        <w:tc>
          <w:tcPr>
            <w:tcW w:type="dxa" w:w="15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Balanço</w:t>
            </w:r>
          </w:p>
        </w:tc>
        <w:tc>
          <w:tcPr>
            <w:tcW w:type="dxa" w:w="45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 cada subsetor, vendas = VBP e compras + valor adicionado = VBP (salvo o resíduo da matriz original, repartido pelo VBP)</w:t>
            </w:r>
          </w:p>
        </w:tc>
        <w:tc>
          <w:tcPr>
            <w:tcW w:type="dxa" w:w="101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0,000000</w:t>
            </w:r>
          </w:p>
        </w:tc>
        <w:tc>
          <w:tcPr>
            <w:tcW w:type="dxa" w:w="19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R$ milhões</w:t>
            </w:r>
          </w:p>
        </w:tc>
      </w:tr>
      <w:tr>
        <w:tc>
          <w:tcPr>
            <w:tcW w:type="dxa" w:w="15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Não negatividade</w:t>
            </w:r>
          </w:p>
        </w:tc>
        <w:tc>
          <w:tcPr>
            <w:tcW w:type="dxa" w:w="45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Nenhum fluxo, valor adicionado ou emissão negativo novo</w:t>
            </w:r>
          </w:p>
        </w:tc>
        <w:tc>
          <w:tcPr>
            <w:tcW w:type="dxa" w:w="101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0,000000</w:t>
            </w:r>
          </w:p>
        </w:tc>
        <w:tc>
          <w:tcPr>
            <w:tcW w:type="dxa" w:w="19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número de células</w:t>
            </w:r>
          </w:p>
        </w:tc>
      </w:tr>
      <w:tr>
        <w:tc>
          <w:tcPr>
            <w:tcW w:type="dxa" w:w="15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Excedente operacional</w:t>
            </w:r>
          </w:p>
        </w:tc>
        <w:tc>
          <w:tcPr>
            <w:tcW w:type="dxa" w:w="45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EOB ≥ 10% do VBP em todos os subsetores com produção</w:t>
            </w:r>
          </w:p>
        </w:tc>
        <w:tc>
          <w:tcPr>
            <w:tcW w:type="dxa" w:w="101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0,100000</w:t>
            </w:r>
          </w:p>
        </w:tc>
        <w:tc>
          <w:tcPr>
            <w:tcW w:type="dxa" w:w="19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fração do VBP</w:t>
            </w:r>
          </w:p>
        </w:tc>
      </w:tr>
      <w:tr>
        <w:tc>
          <w:tcPr>
            <w:tcW w:type="dxa" w:w="15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Modelo</w:t>
            </w:r>
          </w:p>
        </w:tc>
        <w:tc>
          <w:tcPr>
            <w:tcW w:type="dxa" w:w="45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 inversa de Leontief é não negativa, com diagonal ≥ 1, também com as colunas latentes</w:t>
            </w:r>
          </w:p>
        </w:tc>
        <w:tc>
          <w:tcPr>
            <w:tcW w:type="dxa" w:w="101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0,000000</w:t>
            </w:r>
          </w:p>
        </w:tc>
        <w:tc>
          <w:tcPr>
            <w:tcW w:type="dxa" w:w="19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menor elemento de L</w:t>
            </w:r>
          </w:p>
        </w:tc>
      </w:tr>
      <w:tr>
        <w:tc>
          <w:tcPr>
            <w:tcW w:type="dxa" w:w="15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Reprodução do artigo</w:t>
            </w:r>
          </w:p>
        </w:tc>
        <w:tc>
          <w:tcPr>
            <w:tcW w:type="dxa" w:w="45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Os nove cenários do artigo, rodados na MIP original, reproduzem os valores de referência, com duas casas decimais; arredondados a uma casa, os Painéis B das Tabelas 1, 3 e 4 e a Tabela A2 são idênticos aos publicados, exceto a linha da Tabela 4 calculada com o vetor da Tabela A1</w:t>
            </w:r>
          </w:p>
        </w:tc>
        <w:tc>
          <w:tcPr>
            <w:tcW w:type="dxa" w:w="101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0,004859</w:t>
            </w:r>
          </w:p>
        </w:tc>
        <w:tc>
          <w:tcPr>
            <w:tcW w:type="dxa" w:w="19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 CO₂e (maior diferença nas emissões totais)</w:t>
            </w:r>
          </w:p>
        </w:tc>
      </w:tr>
      <w:tr>
        <w:tc>
          <w:tcPr>
            <w:tcW w:type="dxa" w:w="15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Variantes</w:t>
            </w:r>
          </w:p>
        </w:tc>
        <w:tc>
          <w:tcPr>
            <w:tcW w:type="dxa" w:w="45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 9 especificações (principal e 8 variantes) passam nas mesmas checagens; na E3, as emissões do S38 deixam de reproduzir a base (diferem pelo resíduo), e na E4 só o total da economia é preservado (alerta)</w:t>
            </w:r>
          </w:p>
        </w:tc>
        <w:tc>
          <w:tcPr>
            <w:tcW w:type="dxa" w:w="101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9,000000</w:t>
            </w:r>
          </w:p>
        </w:tc>
        <w:tc>
          <w:tcPr>
            <w:tcW w:type="dxa" w:w="19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especificações</w:t>
            </w:r>
          </w:p>
        </w:tc>
      </w:tr>
      <w:tr>
        <w:tc>
          <w:tcPr>
            <w:tcW w:type="dxa" w:w="1511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Alertas</w:t>
            </w:r>
          </w:p>
        </w:tc>
        <w:tc>
          <w:tcPr>
            <w:tcW w:type="dxa" w:w="458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Sem falhas. Alertas registrados: multiplicador de produção acima de 2,2 em 9 das 9 especificações (na principal: geração a gás natural do RS; geração a derivados de petróleo do RS, latente; gás canalizado e outras utilidades do RS; geração a derivados de petróleo do RB); insumos não energéticos da geração a gás natural abaixo de 5% do VBP em 7 (todas, exceto κ = 0,60 e η = 0,05); preservação das emissões na E3 e na E4 (linha anterior)</w:t>
            </w:r>
          </w:p>
        </w:tc>
        <w:tc>
          <w:tcPr>
            <w:tcW w:type="dxa" w:w="1017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0,000000</w:t>
            </w:r>
          </w:p>
        </w:tc>
        <w:tc>
          <w:tcPr>
            <w:tcW w:type="dxa" w:w="195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falhas</w:t>
            </w:r>
          </w:p>
        </w:tc>
      </w:tr>
    </w:tbl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Nota: 'Valor' é a maior diferença absoluta encontrada (ou a contagem indicada); tolerância de 10⁻⁶ nas igualdades, salvo na reprodução do artigo, comparada com valores de referência de duas casas decimais (tolerância de 1 t CO₂e).</w:t>
      </w:r>
    </w:p>
    <w:p>
      <w:pPr>
        <w:spacing w:after="0"/>
      </w:pPr>
      <w:r>
        <w:rPr>
          <w:rFonts w:ascii="Times New Roman" w:hAnsi="Times New Roman" w:eastAsia="Times New Roman"/>
          <w:b w:val="0"/>
          <w:i/>
          <w:sz w:val="20"/>
        </w:rPr>
        <w:t>Fonte: Elaboração própria.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