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úmeros-chave"/>
    <w:p>
      <w:pPr>
        <w:pStyle w:val="Heading1"/>
      </w:pPr>
      <w:r>
        <w:t xml:space="preserve">Números-chave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scripts/rodada05_artigo.py</w:t>
      </w:r>
      <w:r>
        <w:t xml:space="preserve"> </w:t>
      </w:r>
      <w:r>
        <w:t xml:space="preserve">a partir dos arquivos de resultado. Cada número tem o valor bruto, o valor no padrão brasileiro e a origem (arquivo › aba › linha). Nos textos, a chave entre chaves duplas (</w:t>
      </w:r>
      <w:r>
        <w:rPr>
          <w:rStyle w:val="VerbatimChar"/>
        </w:rPr>
        <w:t xml:space="preserve">{{chave}}</w:t>
      </w:r>
      <w:r>
        <w:t xml:space="preserve">) é trocada pelo valor no padrão brasileiro.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584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6"/>
              </w:rPr>
              <w:t xml:space="preserve">Chave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Descrição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Valor bruto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Padrão brasileiro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Unidade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Origem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a0_dif_artigo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diferença entre as emissões totais do A0 e os valores de referência (duas casas, Rodada 01)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0.004858762084040791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× src/mip/referencia.py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a0_dif_fossil_renov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de emissões fóssil − renovável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139638.75294936722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139.638,8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F1 −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428113.5341067808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428.113,5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1925.037208036543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1.925,0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222.3923425061683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222,4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34.88609571089764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20.73915284419193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a0_e1_pct_s38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Energia elétrica agregada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92.22377927398334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356045.7240370425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356.045,7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2120.558269623172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2.120,6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167.9018818475159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167,9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35.33710677770379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22.16127667498752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39.42686702701253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381702.8635022599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381.702,9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2110.486101250903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2.110,5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180.8601645260878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32.86765362228716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19.68781028697114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35.1014052462308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375427.2603331699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375.427,3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2073.929471749065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2.073,9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181.0221926286386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34.96602915887432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21.53139870458057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a0_f3_pct_s38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energia-intensiva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53.03521868344571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216406.9710876753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216.407,0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1959.352995174775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1.959,4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110.4481793840174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51.54670887456342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34.20266242301224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base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57.07523706194456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216987.1565901284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216.987,2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1920.371028203399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1.920,4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112.9923089878785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46.10651242373578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29.0592886287161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29,1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balanceada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32.76658238409503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169090.0151412379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169.090,0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1969.206216134805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1.969,2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85.86709393652586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85,9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62.70118854923339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43.46371140830907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infraestrutura-intensiva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38.76883913522323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309794.8842831829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309.794,9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1959.488267660658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1.959,5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158.0998924035573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158,1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39.04230813560093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23.77736084389895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a0_r4a_pct_s38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energia/transporte-intensiva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58.5234621880534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A0_R4a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a0_reducao_ic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redução da intensidade carbônica da cesta renovável em relação à fóssil (A0)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34.218617344430044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 › F1 e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a0e4_e1_var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com a E4 na MIP original, Energia elétrica agregada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-31.30429004422421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−31,3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A0_E4 › A0_E1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a0e4_f1_var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com a E4 na MIP original, Fóssil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-1.408904318038324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A0_E4 › A0_F1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a0e4_r1_var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com a E4 na MIP original, Renovável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-17.99285027716825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−18,0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A0_E4 › A0_R1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a1_e1_co2e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Energia elétrica agregada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383253.7117399096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383.253,7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a1_f1_co2e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base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340254.9498114071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340.254,9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a1_f2_co2e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balanceada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366651.3535281427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366.651,4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a1_f3_co2e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energia-intensiva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352927.6346330645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352.927,6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base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202473.0436558337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202.473,0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balanceada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209059.2376678106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209.059,2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infraestrutura-intensiva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161749.6080680833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161.749,6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a1_r4a_co2e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energia/transporte-intensiva (A1)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289299.3149763778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289.299,3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› A1_R4a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a2_dif_fossil_renov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de emissões fóssil − renovável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1930831.2022715602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1.930.831,2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› F1 −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383253.7117399096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383.253,7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1908.137081323806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1.908,1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200.8522948854493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65.95073304833994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25.99050326256677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a2_e1_pct_s38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Energia elétrica agregada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91.5561745389814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91,6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2026202.216579384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2.026.202,2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1997.064364625063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1.997,1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1014.590341939125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1.014,6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4.172828418958093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2.695490800707633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89.41345400741176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1972315.417116692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1.972.315,4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1992.873774892974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1.992,9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989.6840642717646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4.367599817467513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2.637643001730532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87.49632790374537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2761423.730015889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2.761.423,7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1897.522849683228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1.897,5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1455.278248942763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1.455,3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2.621066374790292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1.671143202894352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a2_f3_pct_s38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Fóssil energia-intensiva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93.67523503653537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95371.01430782364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95.371,0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1845.159650701164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1.845,2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51.68713410331864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51,7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77.74180256252723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54.03876231984671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base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5.240342035950078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a2_r1_top1_pct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1º emissor da cesta renovável no A2 (RS S43)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37.13799241293293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top10_A2 › A2_R1 #1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149558.1102522495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149.558,1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1856.972951965483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1.857,0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80.53865840854176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52.87336361390497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33.78685684828569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a2_r2_pct_s38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balanceada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3.377435631868134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A2_R2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108198.5933940783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108.198,6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1912.233926877654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1.912,2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56.58229982915732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56,6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80.35616754725865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57.4235822083378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57,4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a2_r3_pct_s38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infraestrutura-intensiva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5.429089370879655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A2_R3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a2_r4a_co2e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totais,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128646.2709543628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128.646,3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a2_r4a_dx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produção bruta induzida,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1788.064386938778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1.788,1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intensidade carbônica,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71.94722510782132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a2_r4a_pct_ind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indiretas,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50.71667144214111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31.16010335415815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a2_r4a_pct_s38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do S38 (ou dos subsetores) nas emissões, Renovável energia/transporte-intensiva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3.098847686339667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A2_R4a (versão 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a2_reducao_ic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redução da intensidade carbônica da cesta renovável em relação à fóssil (A2)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94.9056154029091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› F1 e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bi_bio_t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40583.46923057609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40.583,5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bi_car_t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5451530.487017048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5.451.530,5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bi_dis_t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distribuição (mix de 2019)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387680.1096022632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387.680,1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bi_eol_t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26246.94724654291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26.246,9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bi_gn_t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1636355.71269228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1.636.355,7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bi_hid_t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26391.53752492741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26.391,5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bi_sol_t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R$ 1 bilhão,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24917.69053774675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24.917,7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B_RS1bi › B_SOL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coef_tust_pet_antes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S38_PET-RS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0.01054868176586614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0,0105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R$/R$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coef_tust_pet_depois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S38_PET-RS com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0.04123681363240332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0,0412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R$/R$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coef_tust_sol_antes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S38_SOL-RS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0.0953117068120729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0,0953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R$/R$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coef_tust_sol_depois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coeficiente de TUST da coluna latente S38_SOL-RS com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0.1614154616002224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0,1614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R$/R$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-33.971164801096265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−34,0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-0.07195637772602348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-2.93806565743282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-2.061530990175753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-0.01602621088758749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-2.8000350155846565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-0.08486146219232049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-2.799697045711902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dev_e3_b_twh_sol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v04_E3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-2.9065544192493187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-31.224609912062352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2.1875596885014836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1.8157545345252935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2.8452247170694056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0.04669157788026457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4.196267605390758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4.180650944169773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4.187814494360653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dev_e4_b_twh_sol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v04_E4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1.1931965820035861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0.01329653044412904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-0.088501598537849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-0.04536658731205678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-0.4382205346589285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-0.0030351301189335267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-0.744146316472627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0.6060648718031914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-0.7533206023728978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dev_k060_b_twh_sol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v04_k060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-7.225036112545979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−7,2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2.8087552084166134e-05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35.98095759041111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-0.030567623898059004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-7.6001294434499105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-0.12113280497549894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2.41847113738185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1.0507102965462423e-06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5.974944417864858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dev_p2_b_twh_sol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v04_P2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-29.005015545168945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−29,0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dev_rap_media_a2_e1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-0.0008578439415929395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dev_rap_media_a2_f1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2.525985579425405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dev_rap_media_a2_r1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0.13600568334761753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-0.901185380600289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-0.007634112368570811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-1.1980750129148565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-0.027592012192667603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-1.1397038161159556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dev_rap_media_b_twh_sol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desvio das emissões da v04_rap_media em relação à principal,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-1.2767534215700649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diag_acaso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&lt; 0,1% esperadas por acaso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210.72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 esperados por acaso (ordem de grandeza)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diag_casamentos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com diferença &lt; 0,1%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 (todos)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diag_concorrente_dif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do casamento concorrente S19-RS ≈ refino + química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0.0709071787122213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0,071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 concorrente: S19 = Produção de combustíveis › Produção de combustíveis › Refino de petróleo + Química › Industrial › Química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diag_discutivel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&lt; 0,1% com sentido discutível (critério SCN)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‘discutível’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(critério SCN)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diag_nao_alocado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‘Não alocado’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das duas atividades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18699.95597566485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18.700,0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Não alocado (GE + PC)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diag_nucleos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núcleos distintos entre as combinações &lt; 0,1% (sem unidades desprezíveis)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126.0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126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0.1%, núcleos distintos (sem unidades desprezíveis)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diag_s19_rs_e4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S19-RS na E4 (base NEREUS + refino do SEEG do RS)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4505.982774093187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4.506,0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S19-RS: NEREUS + E4 RS → S19 (risco de dupla contagem do refino)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diag_s19_rs_nereus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S19-RS na base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2693.926278882722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2.693,9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S19-RS: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diag_s38_rb_dif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SEEG − NEREUS no S38-RB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-6.506752684567207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−6,51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S38-RB: diferença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diag_s38_rb_nereus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S38-RB na base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84518.34905662797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84.518,3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S38-RB: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diag_s38_rb_seeg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S38-RB pelo SEEG (estados)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79018.94911043394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79.018,9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S38-RB: SEEG GE + PC, estados (GWP-AR5, bruta)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diag_s38_rs_dif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diferença SEEG − NEREUS no S38-RS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0.0207302882466799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S38-RS: diferença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diag_s38_rs_nereus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S38-RS na base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5838.005554368286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5.838,0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S38-RS: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diag_s38_rs_seeg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S38-RS pelo SEEG (geração de eletricidade + produção de combustíveis)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5839.215789747564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5.839,2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mil 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S38-RS: SEEG GE + PC (GWP-AR5, bruta)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diag_sentido_sim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&lt; 0,1% com sentido econômico (critério SCN)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|dif| &lt; 0.1% com sentido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‘sim’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(critério SCN)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diag_testes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 testadas no casamento de setores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679856.0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679.856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combinações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Casamentos: total de testes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diag_total_br_bruta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total Brasil, SEEG AR5 bruta −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36.48259684978039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36,5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Total Brasil: SEEG GWP-AR5 bruta (SEEG: Emissão; 26 UF + RS + Não Alocado) −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diag_total_br_liq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total Brasil, SEEG AR5 líquida − NEREUS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0.9938371251375626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resultados/rodada05/diagnostico_seeg_nereus.xlsx › resumo › Total Brasil: SEEG GWP-AR5 líquida (SEEG: Emissão + Remoção; 26 UF + RS + Não Alocado) − NEREUS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e4_movido_rb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movidas do S38 na E4,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42743465.99482903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42.743.466,0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realocacao_E4 ›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e4_movido_rs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movidas do S38 na E4,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1900181.996674465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1.900.182,0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realocacao_E4 ›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e4_sobra_rb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que fica em DIS e GAS na E4,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6946267.899657965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6.946.267,9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e realocacao_E4 ›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e4_sobra_rs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que fica em DIS e GAS na E4,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75675.72868064791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75.675,7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e realocacao_E4 ›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eob_espelho_pet_rb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EOB/VBP do espelho S38_PET-RB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eob_espelho_sol_rb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EOB/VBP do espelho S38_SOL-RB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55.18306678299485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55,2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eob_impl_pet_rs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EOB/VBP implícito da coluna latente S38_PET-RS com a D18 (espelho − Δ TUST)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6.931186813346285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eob_impl_sol_rs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EOB/VBP implícito da coluna latente S38_SOL-RS com a D18 (espelho − Δ TUST)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48.5726913041799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48,6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0.006883556534375941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0.8669797164970893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0,867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0.4325599155286444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0,433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0.8294599693660611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0,829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4.94730699878923e-05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1.434683387553202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1,435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0.4364369138406436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0,436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fator_e1_rs_hid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fator de emissão E1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gwh_ger_rb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 de 2019,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501267.511191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501.267,5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gwh_ger_rs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 de 2019,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22677.488809000002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22.677,5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81.57672862286299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81,6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4520.868380526529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4.520,9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422.6125128330976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422,6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25.78164136652243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269.7965944628818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269,8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1916.120388670084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1.916,1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26.0520084373274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25.04981628574196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1184.180633082289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1.184,2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24.71929973316731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mult_em_rb_tra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RB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24.44447589970749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40.58346923057609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5451.530487017047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5.451,5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387.6801096022632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387,7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26.24694724654291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213.8678836555717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1636.35571269228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1.636,4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26.39153752492741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1187.596798429766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1.187,6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24.91769053774674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mult_em_rs_sol_sem_d18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do SOL-RS latente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23.31817874856202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mult_em_rs_tra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RS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23.93629521218996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mult_em_s38_rb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do S38 na MIP original,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406.2507036184068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406,3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mult_em_s38_rs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emissões do S38 na MIP original,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428.1135341067809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428,1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CO₂e/R$ milhão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1.516989283291159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1.630804233151826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1,631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1.921852379490097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1,922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1.491742170112585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1,492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1.774682173526201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1,775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1.850794095667347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1,851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1.509880605530247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1.442110317703913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1,442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2.759954418743637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2,760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1.419414855856191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mult_prod_rb_tra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RB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1.30468519866825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1,305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1.567822837603512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1,568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1.514107489007332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1.896741588878895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1,897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1.543892949379633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2.344210607525952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2,344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2.396925224583616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2,397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1.552910481791872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1,553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2.801481802009222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1.508255449942891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1,508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mult_prod_rs_sol_sem_d18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do SOL-RS latente sem a D18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1.421480282999841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1,421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mult_prod_rs_tra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multiplicador de produção RS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1.321166321733432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1,321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p_pet_rb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 do espelho S38_PET-RB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785.9676713530407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786,0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p_sol_rb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 do espelho S38_SOL-RB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200.7911885476695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 ›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param_alerta_mult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limiar do alerta do multiplicador de produção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2,2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parametros/especificacao_v04.yaml › alerta_multiplicador_producao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param_alerta_ne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limiar do ALERTA do T12 (insumos não energéticos ÷ VBP)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parametros/especificacao_v04.yaml › alerta_insumos_nao_energeticos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param_alfa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parcela da transmissão paga pela distribuição (α)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parametros/componentes_v04.csv › fracao_transmissao_distribuicao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param_consumo_gas_rs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consumo específico de gás das térmicas usado no θ_RS (HIPÓTESE)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0,20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m³/kWh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dados/externos/valores_documentais_v03.csv › theta_RS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param_eta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η (EOB mínimo)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parametros/especificacao_v04.yaml › reequilibrio.eta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param_eta_sens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eta na variante _eta005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parametros/especificacao_v04_eta005.yaml › reequilibrio.eta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param_kappa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κ (piso do VBP das térmicas)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parametros/especificacao_v04.yaml › piso_vbp.kappa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param_kappa_sens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kappa na variante _k060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parametros/especificacao_v04_k060.yaml › piso_vbp.kappa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param_teto_gas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participação máxima do gás canalizado nas compras de S38 de um comprador (teto)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0.9000000000000001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parametros/regras_linha_v04.csv › S38_GAS (máximo)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reag_max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diferença da re-agregação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1.425632945029065e-09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0,000000001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resultados/rodada05/checagens_v04.csv › reagregacao_*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do S38 (E1),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49689733.89448699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49.689.733,9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residuo_rb_pct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em % do CO₂e do S38,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58.7916522851085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do S38 (E1),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1975857.725355113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1.975.857,7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residuo_rs_pct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de emissões em % do CO₂e do S38,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33.8447387032148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rob_a2_e1_max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437947.0453997472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437.947,0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rob_a2_e1_min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A2_E1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253057.9617184265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253.058,0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rob_a2_f1_max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2951716.490104317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2.951.716,5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rob_a2_f1_min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(v04_k060), A2_F1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2024408.995228102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2.024.409,0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rob_a2_r1_max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97102.71782474071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97.102,7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rob_a2_r1_min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A2_R1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92568.95128930014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92.569,0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A2_R1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rob_b_twh_bio_max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9059.660555334896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9.059,7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rob_b_twh_bio_min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(v04_P2), B_TWh_BIO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8139.526797691854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8.139,5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rob_b_twh_car_max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2176164.779703946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2.176.164,8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rob_b_twh_car_min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(v04_P2), B_TWh_CAR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1440413.600973896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1.440.413,6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rob_b_twh_eol_max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4988.720163774262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4.988,7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rob_b_twh_eol_min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B_TWh_EOL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4653.750430603887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4.653,8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rob_b_twh_gn_max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(v04_E2),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682288.861876712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682.288,9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rob_b_twh_gn_min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B_TWh_GN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458629.0667476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458.629,1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rob_b_twh_hid_max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(v04_P2),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4903.602632303452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4.903,6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rob_b_twh_hid_min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(v04_E3), B_TWh_HID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4497.58821809763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4.497,6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rob_b_twh_sol_max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maior valor entre as 9 versões (v04_E4),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5062.951339129909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5.063,0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rob_b_twh_sol_min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valor entre as 9 versões (v04_P2), B_TWh_SOL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3552.058475846372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3.552,1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robustez_detalhe › B_TWh_SOL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s38_co2e_rb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do S38 na base NEREUS,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84518349.05662796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84.518.349,1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s38_co2e_rs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do S38 na base NEREUS,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5838005.554368285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5.838.005,6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niveis_emissoes › v04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t12_gn_rb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insumos não energéticos ÷ VBP da geração a gás, RB (T12)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0.0315483416099439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0,032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fração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insumos_nao_energeticos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t12_gn_rs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insumos não energéticos ÷ VBP da geração a gás, RS (T12)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0.02567660099411299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0,026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fração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insumos_nao_energeticos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t12_min_k060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menor razão insumos não energéticos ÷ VBP com κ = 0,60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0.07680941610745359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0,077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fração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v04_k060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tau_rs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TUST por MWh das fontes do RS (τ_RS)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32.41080238467936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32,41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d18_latentes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1433351.506450309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1.433.351,5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450209.5726140406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450.209,6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8.809024026403092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68.86003531748143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68,9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217.0594134364014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twh_bio_t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Biomassa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8809.024026403093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8.809,0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S38_BIO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-983141.9338362685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−983.141,9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1442.160530476712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1.442,2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0.2822595977346183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264.5423214473903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264,5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twh_car_t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Carvão mineral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1442160.530476712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1.442.160,5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S38_CAR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1437372.719666955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1.437.372,7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454230.7858306867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454.230,8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4.787810809757032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54.72019630973455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182.4140066570086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182,4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twh_eol_t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Eólica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4787.810809757031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4.787,8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S38_EOL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983141.9338362685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983.141,9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459.0185966404437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4.693876508084952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280.5127229245437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twh_gn_t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Gás natural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459018.5966404437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459.018,6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S38_GN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1437533.396526098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1.437.533,4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454391.4626898296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454.391,5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4.627133950614104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54.8448327510414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54,8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175.3264259895306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175,3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twh_hid_t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Hidrelétrica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4627.133950614105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4.627,1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S38_HID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twh_sol_evit_car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carvão,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1437157.277777775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1.437.157,3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twh_sol_evit_gn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evitadas por TWh em relação ao gás natural,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454015.3439415065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454.015,3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twh_sol_gkwh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5.003252698937188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 CO₂e/kWh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twh_sol_pct_rb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no RB por TWh,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52.9998799209711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53,0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twh_sol_preco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preço médio,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200.7911885476695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R$/MWh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twh_sol_sem_d18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 da solar sem a D18 (TUST por real do espelho)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4682.084825690778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4.682,1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d18_SOL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twh_sol_t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emissões por TWh, Solar fotovoltaica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5003.252698937188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5.003,3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 CO₂e/TWh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B_TWh › S38_SOL (v04)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Energia elétrica agregada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-10.478487315395679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Fóssil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-4.435041108369719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−4,4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var_a1_a0_f2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Fóssil balanceada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-3.943253093784582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var_a1_a0_f3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Fóssil energia-intensiva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-5.993071914953186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Renovável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-6.438760896568541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−6,4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var_a1_a0_r2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Renovável balanceada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-3.65363510306419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var_a1_a0_r3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Renovável infraestrutura-intensiva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-4.341123907892075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−4,3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var_a1_a0_r4a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A1/A0, Renovável energia/transporte-intensiva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-6.615851438034115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−6,6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A1 e A0 › 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var_a2_a0_e1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Energia elétrica agregada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-10.478487315395679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−10,5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var_a2_a0_f1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Fóssil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469.08483371326224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469,1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F1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var_a2_a0_f2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Fóssil balanceada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416.7148600930039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416,7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F2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var_a2_a0_f3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Fóssil energia-intensiva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635.5416139907596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635,5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F3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var_a2_a0_r1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Renovável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-55.9297864442708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−55,9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R1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var_a2_a0_r2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Renovável balanceada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-31.075132462907497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−31,1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var_a2_a0_r3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Renovável infraestrutura-intensiva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-36.01124625620151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−36,0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R3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var_a2_a0_r4a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variação das emissões A2/A0, Renovável energia/transporte-intensiva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-58.473726494215605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−58,5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resultados/rodada05/simulacoes_v04.xlsx › A2 e A0 › R4a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vbp_gas_rb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do gás canalizado,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19421.04544377357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19.421,0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vbp_ger_rb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geração (8 subsetores),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74993.73746916429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74.993,7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vbp_ger_rs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geração (8 subsetores),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4268.713587728492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4.268,7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geração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281.255334907724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281,3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2166.419696778494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2.166,4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208427.8922088759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208.427,9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6761.937014537989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6.761,9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19421.04544377357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19.421,0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10981.93425757629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10.981,9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46660.99212599756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46.661,0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3075.0637711953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3.075,1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4066.596731580632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4.066,6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999.538536590299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999,5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vbp_rb_tra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RB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21544.66645168056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21.544,7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RB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S38_BIO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14.81071154844496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S38_CAR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694.4827481078984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694,5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S38_DIS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14384.2967767677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14.384,3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S38_EOL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960.7595306562334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960,8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S38_EOL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S38_GAS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898.71033854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898,7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S38_GN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48.96694328784385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49,0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S38_HID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2549.693654128071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2.549,7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S38_HID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S38_NUC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S38_NUC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S38_PET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S38_SOL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S38_SOL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vbp_rs_tra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RS S38_TRA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1390.937723469444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1.390,9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v04 RS S38_TRA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vbp_s38_rb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do S38 na MIP original, RB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324387.3415734943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324.387,3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vbp_s38_rs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do S38 na MIP original,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20942.65842650564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20.942,7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quadro › original 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vbp_tra_media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transmissão na variante _rap_media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24883.427435680005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24.883,4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v04_rap_media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vbp_tra_rs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transmissão, 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1390.937723469444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1.390,9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6"/>
              </w:rPr>
              <w:t xml:space="preserve">vbp_tra_total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VBP da transmissão (Brasil, D17)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22935.604175150005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6"/>
              </w:rPr>
              <w:t xml:space="preserve">22.935,6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R$ milhões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resultados/rodada05/quadro_subsetores_v04.xlsx › variantes_resumo › v04</w:t>
            </w:r>
          </w:p>
        </w:tc>
      </w:tr>
    </w:tbl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 w:eastAsia="Times New Roman"/>
      <w:spacing w:val="15"/>
      <w:sz w:val="24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Times New Roman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 w:eastAsia="Times New Roman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 w:eastAsia="Times New Roman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 w:eastAsia="Times New Roman"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/>
      <w:sz w:val="24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/>
      <w:b/>
      <w:sz w:val="24"/>
    </w:rPr>
  </w:style>
  <w:style w:customStyle="1" w:styleId="Definition" w:type="paragraph">
    <w:name w:val="Definition"/>
    <w:basedOn w:val="Normal"/>
    <w:rPr>
      <w:rFonts w:ascii="Times New Roman" w:hAnsi="Times New Roman" w:eastAsia="Times New Roman"/>
      <w:sz w:val="24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/>
      <w:i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/>
      <w:sz w:val="24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/>
      <w:sz w:val="24"/>
    </w:rPr>
  </w:style>
  <w:style w:customStyle="1" w:styleId="Figure" w:type="paragraph">
    <w:name w:val="Figure"/>
    <w:basedOn w:val="Normal"/>
    <w:rPr>
      <w:rFonts w:ascii="Times New Roman" w:hAnsi="Times New Roman" w:eastAsia="Times New Roman"/>
      <w:sz w:val="24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/>
      <w:sz w:val="24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/>
      <w:sz w:val="24"/>
    </w:rPr>
  </w:style>
  <w:style w:styleId="FootnoteReference" w:type="character">
    <w:name w:val="Footnote Reference"/>
    <w:basedOn w:val="BodyTextChar"/>
    <w:rPr>
      <w:rFonts w:ascii="Times New Roman" w:hAnsi="Times New Roman" w:eastAsia="Times New Roman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Times New Roman"/>
      <w:b w:val="0"/>
      <w:bCs w:val="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/>
      <w:sz w:val="24"/>
    </w:rPr>
  </w:style>
  <w:style w:type="character" w:customStyle="1" w:styleId="KeywordTok">
    <w:name w:val="KeywordTok"/>
    <w:basedOn w:val="VerbatimChar"/>
    <w:rPr>
      <w:rFonts w:ascii="Times New Roman" w:hAnsi="Times New Roman" w:eastAsia="Times New Roman"/>
      <w:b/>
      <w:sz w:val="24"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/>
      <w:sz w:val="24"/>
    </w:rPr>
  </w:style>
  <w:style w:type="character" w:customStyle="1" w:styleId="DecValTok">
    <w:name w:val="DecValTok"/>
    <w:basedOn w:val="VerbatimChar"/>
    <w:rPr>
      <w:rFonts w:ascii="Times New Roman" w:hAnsi="Times New Roman" w:eastAsia="Times New Roman"/>
      <w:sz w:val="24"/>
    </w:rPr>
  </w:style>
  <w:style w:type="character" w:customStyle="1" w:styleId="BaseNTok">
    <w:name w:val="BaseNTok"/>
    <w:basedOn w:val="VerbatimChar"/>
    <w:rPr>
      <w:rFonts w:ascii="Times New Roman" w:hAnsi="Times New Roman" w:eastAsia="Times New Roman"/>
      <w:sz w:val="24"/>
    </w:rPr>
  </w:style>
  <w:style w:type="character" w:customStyle="1" w:styleId="FloatTok">
    <w:name w:val="FloatTok"/>
    <w:basedOn w:val="VerbatimChar"/>
    <w:rPr>
      <w:rFonts w:ascii="Times New Roman" w:hAnsi="Times New Roman" w:eastAsia="Times New Roman"/>
      <w:sz w:val="24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/>
      <w:sz w:val="24"/>
    </w:rPr>
  </w:style>
  <w:style w:type="character" w:customStyle="1" w:styleId="CharTok">
    <w:name w:val="CharTok"/>
    <w:basedOn w:val="VerbatimChar"/>
    <w:rPr>
      <w:rFonts w:ascii="Times New Roman" w:hAnsi="Times New Roman" w:eastAsia="Times New Roman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/>
      <w:sz w:val="24"/>
    </w:rPr>
  </w:style>
  <w:style w:type="character" w:customStyle="1" w:styleId="StringTok">
    <w:name w:val="StringTok"/>
    <w:basedOn w:val="VerbatimChar"/>
    <w:rPr>
      <w:rFonts w:ascii="Times New Roman" w:hAnsi="Times New Roman" w:eastAsia="Times New Roman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/>
      <w:sz w:val="24"/>
    </w:rPr>
  </w:style>
  <w:style w:type="character" w:customStyle="1" w:styleId="ImportTok">
    <w:name w:val="ImportTok"/>
    <w:basedOn w:val="VerbatimChar"/>
    <w:rPr>
      <w:rFonts w:ascii="Times New Roman" w:hAnsi="Times New Roman" w:eastAsia="Times New Roman"/>
      <w:b/>
      <w:sz w:val="24"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/>
      <w:i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/>
      <w:i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OtherTok">
    <w:name w:val="OtherTok"/>
    <w:basedOn w:val="VerbatimChar"/>
    <w:rPr>
      <w:rFonts w:ascii="Times New Roman" w:hAnsi="Times New Roman" w:eastAsia="Times New Roman"/>
      <w:sz w:val="24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/>
      <w:sz w:val="24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/>
      <w:b/>
      <w:sz w:val="24"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/>
      <w:sz w:val="24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AlertTok">
    <w:name w:val="AlertTok"/>
    <w:basedOn w:val="VerbatimChar"/>
    <w:rPr>
      <w:rFonts w:ascii="Times New Roman" w:hAnsi="Times New Roman" w:eastAsia="Times New Roman"/>
      <w:b/>
      <w:sz w:val="24"/>
    </w:rPr>
  </w:style>
  <w:style w:type="character" w:customStyle="1" w:styleId="ErrorTok">
    <w:name w:val="ErrorTok"/>
    <w:basedOn w:val="VerbatimChar"/>
    <w:rPr>
      <w:rFonts w:ascii="Times New Roman" w:hAnsi="Times New Roman" w:eastAsia="Times New Roman"/>
      <w:b/>
      <w:sz w:val="24"/>
    </w:rPr>
  </w:style>
  <w:style w:type="character" w:customStyle="1" w:styleId="NormalTok">
    <w:name w:val="NormalTok"/>
    <w:basedOn w:val="VerbatimChar"/>
    <w:rPr>
      <w:rFonts w:ascii="Times New Roman" w:hAnsi="Times New Roman" w:eastAsia="Times New Roman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2026-10-18T15:03:27Z</dcterms:created>
  <dcterms:modified xsi:type="dcterms:W3CDTF">2026-10-18T15:03:27Z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