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776c3fe07d7140d9fe91baed0f37b16b6136039"/>
    <w:p>
      <w:pPr>
        <w:pStyle w:val="Heading2"/>
      </w:pPr>
      <w:r>
        <w:t xml:space="preserve">3.x Desagregação do setor de energia elétrica, gás natural e outras utilidades (S38)</w:t>
      </w:r>
    </w:p>
    <w:p>
      <w:pPr>
        <w:pStyle w:val="FirstParagraph"/>
      </w:pPr>
      <w:r>
        <w:t xml:space="preserve">Na matriz inter-regional de insumo-produto de 2019, Rio Grande do Sul (RS) e Restante do Brasil (RB), com conta-satélite de emissões de CO₂e (NEREUS, [2025?]; Haddad et al., 2025), o setor S38 reúne em uma coluna a geração de energia elétrica de todas as fontes, a transmissão, a distribuição e o gás canalizado. No modelo de Leontief, essas atividades compartilham os coeficientes técnicos e a intensidade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O</m:t>
        </m:r>
        <m:sSub>
          <m:e>
            <m:r>
              <m:t>2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mas as intensidades por fonte diferem: no RS, os fatores de emissão adotados (Tabela A3) são de 1,435 t CO₂e/MWh na geração a carvão mineral, 0,436 na geração a gás natural e 0,000 nas gerações hidrelétrica e eólica. Lenzen (2011) mostra que agregar setores com intensidades distintas altera os multiplicadores ambientais. O objetivo foi separar as fontes, nas duas regiões, para atribuir os choques a cada tecnologia.</w:t>
      </w:r>
    </w:p>
    <w:p>
      <w:pPr>
        <w:pStyle w:val="BodyText"/>
      </w:pPr>
      <w:r>
        <w:t xml:space="preserve">O procedimento segue a desagregação a partir de participações e de informação parcial (Wolsky, 1984; Lindner, Legault e Guan, 2012) e, em particular, a do setor elétrico em geração por tecnologia, transmissão e distribuição (Lindner, Legault e Guan, 2013; Peters, 2016, na base GTAP-Power). O S38 foi dividido em 11 subsetores em cada região (Quadro 2): oito de geração (conjunto</w:t>
      </w:r>
      <w:r>
        <w:t xml:space="preserve"> </w:t>
      </w:r>
      <m:oMath>
        <m:r>
          <m:t>G</m:t>
        </m:r>
      </m:oMath>
      <w:r>
        <w:t xml:space="preserve">) e três de rede e utilidades, com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S</m:t>
        </m:r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Quadro 2:</w:t>
      </w:r>
      <w:r>
        <w:t xml:space="preserve"> </w:t>
      </w:r>
      <w:r>
        <w:t xml:space="preserve">Subsetores do S38 e critério do valor bruto da produção (VBP)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Código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Subsetor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Critério do VBP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Fonte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6"/>
              </w:rPr>
              <w:t xml:space="preserve">S38_HID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Geração hidrelétrica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Parcela de</w:t>
            </w:r>
            <w:r>
              <w:rPr>
                <w:sz w:val="16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r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(Eq. 20) por GWh × preço (Eq. 21)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ONS ([2026]); EPE (2020); ANEEL ([2026]); IBGE (2026)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6"/>
              </w:rPr>
              <w:t xml:space="preserve">S38_EOL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Geração eólica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Idem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6"/>
              </w:rPr>
              <w:t xml:space="preserve">S38_SOL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Geração solar fotovoltaica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Idem no RB; latente no RS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6"/>
              </w:rPr>
              <w:t xml:space="preserve">S38_BIO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Geração a biomassa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Idem, com piso (Eq. 22)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6"/>
              </w:rPr>
              <w:t xml:space="preserve">S38_CAR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Geração a carvão mineral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Idem, com piso (Eq. 22)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6"/>
              </w:rPr>
              <w:t xml:space="preserve">S38_GN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Geração a gás natural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Idem, com piso (Eq. 22)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6"/>
              </w:rPr>
              <w:t xml:space="preserve">S38_PET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Geração a derivados de petróleo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Idem, com piso (Eq. 22), no RB; latente no RS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6"/>
              </w:rPr>
              <w:t xml:space="preserve">S38_NUC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Geração nuclear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Parcela de</w:t>
            </w:r>
            <w:r>
              <w:rPr>
                <w:sz w:val="16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r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(Eq. 20) por GWh × tarifa de Angra 1 e 2 (Eq. 21) no RB; zero no RS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EPE (2020); ANEEL (2018b)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6"/>
              </w:rPr>
              <w:t xml:space="preserve">S38_TRA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Transmissão de energia elétrica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Encargos de uso faturados pelo ONS em 2019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ONS (2019a; 2019b; 2020)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6"/>
              </w:rPr>
              <w:t xml:space="preserve">S38_DIS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Distribuição de energia elétrica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Resíduo (Eq. 23)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NEREUS ([2025?])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6"/>
              </w:rPr>
              <w:t xml:space="preserve">S38_GAS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Gás canalizado e outras utilidades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RS: receita da Sulgás; RB: preço da Sulgás × volume não térmico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Sulgás (2020); Brasil (2020)</w:t>
            </w:r>
          </w:p>
        </w:tc>
      </w:tr>
    </w:tbl>
    <w:p>
      <w:pPr>
        <w:pStyle w:val="BodyText"/>
      </w:pPr>
      <w:r>
        <w:rPr>
          <w:i/>
          <w:iCs/>
        </w:rPr>
        <w:t xml:space="preserve">Fonte: Elaboração própria.</w:t>
      </w:r>
    </w:p>
    <w:p>
      <w:pPr>
        <w:pStyle w:val="BodyText"/>
      </w:pPr>
      <w:r>
        <w:t xml:space="preserve">O princípio é preservar a matriz original: a soma dos subsetores reproduz cada célula da matriz e da conta-satélite. Sendo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,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 fluxo do subsetor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ao setor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 venda à coluna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da demanda final e</w:t>
      </w:r>
      <w: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 insumo primário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(inclusive o excedente operacional bruto, EOB), as restrições são, para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R</m:t>
        </m:r>
        <m:r>
          <m:rPr>
            <m:sty m:val="p"/>
          </m:rPr>
          <m:t>S</m:t>
        </m:r>
        <m:r>
          <m:rPr>
            <m:sty m:val="p"/>
          </m:rPr>
          <m:t>,</m:t>
        </m:r>
        <m:r>
          <m:rPr>
            <m:sty m:val="p"/>
          </m:rPr>
          <m:t>R</m:t>
        </m:r>
        <m:r>
          <m:rPr>
            <m:sty m:val="p"/>
          </m:rP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≠</m:t>
        </m:r>
        <m:r>
          <m:rPr>
            <m:sty m:val="p"/>
          </m:rPr>
          <m:t>S</m:t>
        </m:r>
        <m:r>
          <m:rPr>
            <m:sty m:val="p"/>
          </m:rPr>
          <m:t>38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∈</m:t>
              </m:r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Z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38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∈</m:t>
              </m:r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38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∈</m:t>
              </m:r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Z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38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∈</m:t>
              </m:r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38</m:t>
              </m:r>
              <m:r>
                <m:rPr>
                  <m:sty m:val="p"/>
                </m:rPr>
                <m:t>)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∈</m:t>
              </m:r>
              <m:r>
                <m:t>K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∈</m:t>
                  </m:r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38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38</m:t>
              </m:r>
              <m:r>
                <m:rPr>
                  <m:sty m:val="p"/>
                </m:rPr>
                <m:t>)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∈</m:t>
              </m:r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38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∈</m:t>
              </m:r>
              <m:r>
                <m:t>K</m:t>
              </m:r>
            </m:sub>
            <m:sup>
              <m:r>
                <m:t>​</m:t>
              </m:r>
            </m:sup>
            <m:e>
              <m:r>
                <m:t>C</m:t>
              </m:r>
            </m:e>
          </m:nary>
          <m:r>
            <m:t>O</m:t>
          </m:r>
          <m:sSub>
            <m:e>
              <m:r>
                <m:t>2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t>O</m:t>
          </m:r>
          <m:sSub>
            <m:e>
              <m:r>
                <m:t>2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38</m:t>
              </m:r>
            </m:sub>
          </m:sSub>
          <m:r>
            <m:t> </m:t>
          </m:r>
          <m:r>
            <m:rPr>
              <m:nor/>
              <m:sty m:val="p"/>
            </m:rPr>
            <m:t>(na E1)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Produção.</w:t>
      </w:r>
      <w:r>
        <w:t xml:space="preserve"> </w:t>
      </w:r>
      <w:r>
        <w:t xml:space="preserve">O VBP da geração foi ancorado no bloco S38 × S38. Supôs-se que as vendas do S38 de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ao S38 das duas regiões são a energia da geração vendida à distribuição mais a transmissão,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(HIPÓTESE: as térmicas não compram gás das distribuidoras). O VBP da geração,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q</m:t>
              </m:r>
            </m:sub>
            <m:sup>
              <m:r>
                <m:t>​</m:t>
              </m:r>
            </m:sup>
            <m:e>
              <m:sSub>
                <m:e>
                  <m:r>
                    <m:t>Z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38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38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é repartido entre as fontes pela energia gerada em 2019,</w:t>
      </w:r>
      <w:r>
        <w:t xml:space="preserve"> </w:t>
      </w:r>
      <m:oMath>
        <m:sSub>
          <m:e>
            <m:r>
              <m:t>Q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g</m:t>
            </m:r>
          </m:sub>
        </m:sSub>
      </m:oMath>
      <w:r>
        <w:t xml:space="preserve"> </w:t>
      </w:r>
      <w:r>
        <w:t xml:space="preserve">(GWh), vezes o preço de cada fonte,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(Peters, 2016):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t> 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</m:sSub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g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h</m:t>
                  </m:r>
                  <m:r>
                    <m:rPr>
                      <m:sty m:val="p"/>
                    </m:rPr>
                    <m:t>∈</m:t>
                  </m:r>
                  <m:r>
                    <m:t>G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h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h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rPr>
              <m:sty m:val="p"/>
            </m:rPr>
            <m:t>∈</m:t>
          </m:r>
          <m:r>
            <m:t>G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geração do RS veio do ONS ([2026]); a do RB, do Brasil (EPE, 2020) menos o RS. Os preços são os dos leilões (ANEEL, [2026]), corrigidos pelo IPCA para 2019 (IBGE, 2026), e, na nuclear, a tarifa de Angra 1 e 2 (ANEEL, 2018b) (HIPÓTESE: os preços relativos dos leilões representam os da matriz; preços iguais na Tabela A6). Nas térmicas, o VBP tem um piso dado pelo combustível comprado,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g</m:t>
            </m:r>
          </m:sub>
        </m:sSub>
      </m:oMath>
      <w:r>
        <w:t xml:space="preserve"> </w:t>
      </w:r>
      <w:r>
        <w:t xml:space="preserve">(HIPÓTESE):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</m:sSub>
          <m:r>
            <m:rPr>
              <m:sty m:val="p"/>
            </m:rPr>
            <m:t>≥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</m:sSub>
            </m:num>
            <m:den>
              <m:r>
                <m:t>κ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κ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70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Atingido o piso, as demais fontes caem na proporção do VBP, sem alterar</w:t>
      </w:r>
      <w:r>
        <w:t xml:space="preserve"> </w:t>
      </w:r>
      <m:oMath>
        <m:sSub>
          <m:e>
            <m:r>
              <m:t>E</m:t>
            </m:r>
          </m:e>
          <m:sub>
            <m:r>
              <m:t>r</m:t>
            </m:r>
          </m:sub>
        </m:sSub>
      </m:oMath>
      <w:r>
        <w:t xml:space="preserve">. O VBP da transmissão são os encargos de uso faturados pelo ONS em 2019, sem PIS/Pasep e Cofins, R$ 22.935,6 milhões (ONS, 2019a; 2019b; 2020), repartidos entre as regiões pelo VBP do S38 (HIPÓTESE). O do gás canalizado no RS é a receita líquida da Sulgás em 2019, R$ 898,7 milhões (Sulgás, 2020); no RB, o preço da Sulgás vezes o volume não térmico das distribuidoras (Brasil, 2020), R$ 19.421,0 milhões (HIPÓTESE). A distribuição é o resíduo: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38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Vendas e compras.</w:t>
      </w:r>
      <w:r>
        <w:t xml:space="preserve"> </w:t>
      </w:r>
      <w:r>
        <w:t xml:space="preserve">No bloco S38 × S38, cada componente vai de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na proporção</w:t>
      </w:r>
      <w:r>
        <w:t xml:space="preserve"> </w:t>
      </w:r>
      <m:oMath>
        <m:sSub>
          <m:e>
            <m:r>
              <m:t>F</m:t>
            </m:r>
          </m:e>
          <m:sub>
            <m:r>
              <m:t>r</m:t>
            </m:r>
            <m:r>
              <m:t>q</m:t>
            </m:r>
          </m:sub>
        </m:sSub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das vendas originais do S38: a energia vai à distribuição de</w:t>
      </w:r>
      <w:r>
        <w:t xml:space="preserve"> </w:t>
      </w:r>
      <m:oMath>
        <m:r>
          <m:t>q</m:t>
        </m:r>
      </m:oMath>
      <w:r>
        <w:t xml:space="preserve">; a transmissão é paga em uma fração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pela distribuição e em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pela geração (ANEEL, 2013), repartida entre as fontes de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pela energia gerada no Sistema Interligado Nacional,</w:t>
      </w:r>
      <w:r>
        <w:t xml:space="preserve"> </w:t>
      </w:r>
      <m:oMath>
        <m:sSub>
          <m:e>
            <m:r>
              <m:t>M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g</m:t>
            </m:r>
          </m:sub>
        </m:sSub>
      </m:oMath>
      <w:r>
        <w:t xml:space="preserve"> </w:t>
      </w:r>
      <w:r>
        <w:t xml:space="preserve">(ONS, [2026]), o que iguala a tarifa de uso da transmissão (TUST) por MWh das fontes de uma região: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t> 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r</m:t>
                  </m:r>
                  <m:r>
                    <m:t>q</m:t>
                  </m:r>
                </m:sub>
              </m:sSub>
            </m:num>
            <m:den>
              <m:sSub>
                <m:e>
                  <m:r>
                    <m:t>F</m:t>
                  </m:r>
                </m:e>
                <m:sub>
                  <m:r>
                    <m:t>r</m:t>
                  </m:r>
                </m:sub>
              </m:sSub>
            </m:den>
          </m:f>
          <m:r>
            <m:t> 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h</m:t>
                  </m:r>
                  <m:r>
                    <m:rPr>
                      <m:sty m:val="p"/>
                    </m:rPr>
                    <m:t>∈</m:t>
                  </m:r>
                  <m:r>
                    <m:t>G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h</m:t>
                      </m:r>
                    </m:sub>
                  </m:sSub>
                </m:e>
              </m:nary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Fora do bloco, a geração e a transmissão não vendem: a energia elétrica sai da distribuição, e o gás canalizado vende na própria região, pelas vendas por segmento da Sulgás (Sulgás, 2020) no RS e pelo consumo por setor (EPE, 2020) no RB, até 0,90 das compras de S38 de cada comprador (HIPÓTESE); as linhas foram conciliadas por RAS (Lahr e de Mesnard, 2004). Nas colunas, os combustíveis vão à fonte correspondente: carvão mineral à geração a carvão; petróleo e gás natural à geração a gás natural e ao gás canalizado (Brasil, 2020); refino, no RB, aos derivados de petróleo; lenha e bagaço à biomassa. As importações do S38 vão à distribuição e, no RB, também à geração a gás e ao gás canalizado (Brasil, [2026]). As remunerações seguem o CEMPRE (IBGE, 2021) entre geração, transmissão, distribuição e gás e, na geração, o VBP líquido do combustível (HIPÓTESE). Os demais insumos seguem o VBP, e o EOB fecha cada coluna. Para evitar EOB negativo, esses insumos e os impostos sobre produtos foram ajustados por RAS (Lahr e de Mesnard, 2004), preservando os totais de linha e a soma dos EOB de cada região, com (HIPÓTESE)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O</m:t>
          </m:r>
          <m:sSub>
            <m:e>
              <m:r>
                <m:t>B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≥</m:t>
          </m:r>
          <m:r>
            <m:t>η</m:t>
          </m:r>
          <m:r>
            <m:t> </m:t>
          </m:r>
          <m:sSub>
            <m:e>
              <m:r>
                <m:t>X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10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Emissões.</w:t>
      </w:r>
      <w:r>
        <w:t xml:space="preserve"> </w:t>
      </w:r>
      <w:r>
        <w:t xml:space="preserve">Na versão principal (E1), a geração recebe as emissões das usinas do SEEG (2025),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, e a transmissão e a distribuição, as de SF₆; o resíduo da conta-satélite vai à distribuição e ao gás canalizado, na proporção do VBP (HIPÓTESE):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O</m:t>
          </m:r>
          <m:sSub>
            <m:e>
              <m:r>
                <m:t>2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t>O</m:t>
              </m:r>
              <m:sSub>
                <m:e>
                  <m:r>
                    <m:t>2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38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∈</m:t>
                  </m:r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</m:sub>
                  </m:sSub>
                </m:e>
              </m:nary>
            </m:e>
          </m:d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G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r>
            <m:rPr>
              <m:sty m:val="p"/>
            </m:rPr>
            <m:t>}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 resíduo é 33,8% do CO₂e do S38 no RS e 58,8% no RB. No diagnóstico (Tabela A7), a soma das atividades</w:t>
      </w:r>
      <w:r>
        <w:t xml:space="preserve"> </w:t>
      </w:r>
      <w:r>
        <w:t xml:space="preserve">“Geração de eletricidade”</w:t>
      </w:r>
      <w:r>
        <w:t xml:space="preserve"> </w:t>
      </w:r>
      <w:r>
        <w:t xml:space="preserve">e</w:t>
      </w:r>
      <w:r>
        <w:t xml:space="preserve"> </w:t>
      </w:r>
      <w:r>
        <w:t xml:space="preserve">“Produção de combustíveis”</w:t>
      </w:r>
      <w:r>
        <w:t xml:space="preserve"> </w:t>
      </w:r>
      <w:r>
        <w:t xml:space="preserve">no RS difere em 0,02% do S38 da base, compatível com um S38 da conta-satélite que inclua o refino e a produção de carvão mineral. É um indício, não uma confirmação: não há documentação da conta-satélite; no RB, a diferença é de −6,51%; das 679.856 combinações testadas no RS, 224 ficaram abaixo de 0,1%, contra cerca de 211 esperadas por acaso; e uma combinação concorrente põe o refino no setor de refino da base. Mantida a E1, calcularam-se sensibilidades (Tabela A6): a E2, que reparte o total da base na proporção dos níveis do SEEG; a E3, só com os níveis do SEEG, sem preservar o total da base; e a E4, em que as emissões do refino, da exploração de petróleo e gás e da produção de carvão mineral saem do resíduo para esses setores da mesma região.</w:t>
      </w:r>
    </w:p>
    <w:p>
      <w:pPr>
        <w:pStyle w:val="BodyText"/>
      </w:pPr>
      <w:r>
        <w:rPr>
          <w:b/>
          <w:bCs/>
        </w:rPr>
        <w:t xml:space="preserve">Subsetores sem produção no RS.</w:t>
      </w:r>
      <w:r>
        <w:t xml:space="preserve"> </w:t>
      </w:r>
      <w:r>
        <w:t xml:space="preserve">A geração solar fotovoltaica e a geração a derivados de petróleo não produziam no RS em 2019 (a nuclear foi zerada). Foram tratadas como latentes: produção-base zero e, só no modelo, coluna de coeficientes técnicos e de intensidades do mesmo subsetor no RB, com as origens repartidas como na coluna do S38 do RS. Supôs-se que essas colunas pagam a mesma TUST por MWh das fontes do RS,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t>32</m:t>
        </m:r>
        <m:r>
          <m:rPr>
            <m:sty m:val="p"/>
          </m:rPr>
          <m:t>,</m:t>
        </m:r>
        <m:r>
          <m:t>41</m:t>
        </m:r>
      </m:oMath>
      <w:r>
        <w:t xml:space="preserve"> </w:t>
      </w:r>
      <w:r>
        <w:t xml:space="preserve">R$/MWh, sobre o VBP por MWh do espelho,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(HIPÓTESE):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S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ty m:val="p"/>
            </m:rPr>
            <m:t>P</m:t>
          </m:r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}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Verificação.</w:t>
      </w:r>
      <w:r>
        <w:t xml:space="preserve"> </w:t>
      </w:r>
      <w:r>
        <w:t xml:space="preserve">A soma dos subsetores reproduz a matriz original e as contas-satélite, com diferença máxima de 0,000000001 R$ milhões; verificaram-se o balanço, a não negatividade, o EOB mínimo e a inversa de Leontief,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não negativa e com diagonal maior ou igual a 1 (Tabela A8). Os cenários do artigo, rodados na matriz original, reproduzem os valores publicados: arredondados a uma casa decimal, são idênticos nos Painéis B das Tabelas 1, 3 e 4 e na Tabela A2, exceto a linha da cesta renovável energia/transporte-intensiva da Tabela 4 calculada com o vetor da Tabela A1.</w:t>
      </w:r>
    </w:p>
    <w:p>
      <w:pPr>
        <w:pStyle w:val="BodyText"/>
      </w:pPr>
      <w:r>
        <w:rPr>
          <w:b/>
          <w:bCs/>
        </w:rPr>
        <w:t xml:space="preserve">Atribuição dos choques.</w:t>
      </w:r>
      <w:r>
        <w:t xml:space="preserve"> </w:t>
      </w:r>
      <w:r>
        <w:t xml:space="preserve">Mantiveram-se os vetores de R$ 1 bilhão (R$ 1.000 milhões) na demanda final do RS (Quadro 1; Tabela A1) e o modelo (Miller e Blair, 2022). No bloco A1, o choque no S38 foi repartido entre os subsetores do RS na proporção das vendas de cada um à demanda final,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, o que o leva à distribuição e ao gás canalizado: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Y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Y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38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∈</m:t>
                  </m:r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max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No bloco A2, o S38 das cestas renováveis foi atribuído à geração eólica, e o das fósseis às gerações a carvão mineral e a gás natural, na proporção do VBP de 2019; na energia elétrica agregada, A2 coincide com A1 (sensibilidades na Tabela 5). No bloco B, seis subsetores de geração do RS e a distribuição receberam R$ 1 bilhão, e os seis de geração, 1 TWh valorado pelo VBP por MWh,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Y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t>g</m:t>
            </m:r>
          </m:sub>
        </m:sSub>
      </m:oMath>
      <w:r>
        <w:t xml:space="preserve"> </w:t>
      </w:r>
      <w:r>
        <w:t xml:space="preserve">R$ milhões (na solar, o do espelho). As emissões totais e diretas são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O</m:t>
          </m:r>
          <m:sSup>
            <m:e>
              <m:r>
                <m:t>2</m:t>
              </m:r>
            </m:e>
            <m:sup>
              <m:r>
                <m:t>t</m:t>
              </m:r>
              <m:r>
                <m:t>o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L</m:t>
          </m:r>
          <m:r>
            <m:t> 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t>O</m:t>
          </m:r>
          <m:sSup>
            <m:e>
              <m:r>
                <m:t>2</m:t>
              </m:r>
            </m:e>
            <m:sup>
              <m:r>
                <m:t>d</m:t>
              </m:r>
              <m:r>
                <m:t>i</m:t>
              </m:r>
              <m:r>
                <m:t>r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Δ</m:t>
          </m:r>
          <m:r>
            <m:t>Y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 as indiretas, a diferença (Tabela 6). O choque mede a operação, que movimenta a coluna de insumos de 2019 (combustível, transmissão e serviços), e não a implantação das usinas, cujos bens de capital não entram em</w:t>
      </w:r>
      <w:r>
        <w:t xml:space="preserve"> </w:t>
      </w:r>
      <m:oMath>
        <m:r>
          <m:t>A</m:t>
        </m:r>
      </m:oMath>
      <w:r>
        <w:t xml:space="preserve">. Os detalhes estão nas Tabelas A3 a A8 e no Apêndice B.</w:t>
      </w:r>
    </w:p>
    <w:bookmarkEnd w:id="9"/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Times New Roman"/>
      <w:sz w:val="24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Times New Roman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eastAsia="Times New Roman"/>
      <w:sz w:val="2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ascii="Times New Roman" w:hAnsi="Times New Roman" w:eastAsia="Times New Roman"/>
      <w:sz w:val="24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Times New Roman" w:hAnsi="Times New Roman" w:eastAsia="Times New Roman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ascii="Times New Roman" w:hAnsi="Times New Roman" w:eastAsia="Times New Roman"/>
      <w:spacing w:val="15"/>
      <w:sz w:val="24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Times New Roman"/>
      <w:b/>
      <w:sz w:val="24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Times New Roman"/>
      <w:sz w:val="24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eastAsia="Times New Roman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eastAsia="Times New Roman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eastAsia="Times New Roman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Times New Roman" w:hAnsi="Times New Roman" w:eastAsia="Times New Roman"/>
      <w:i/>
      <w:iCs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Times New Roman" w:hAnsi="Times New Roman" w:eastAsia="Times New Roman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Times New Roman" w:hAnsi="Times New Roman" w:eastAsia="Times New Roman"/>
      <w:i/>
      <w:iCs/>
      <w:sz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Times New Roman" w:hAnsi="Times New Roman" w:eastAsia="Times New Roman"/>
      <w:sz w:val="24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Times New Roman" w:hAnsi="Times New Roman" w:eastAsia="Times New Roman"/>
      <w:i/>
      <w:iCs/>
      <w:sz w:val="24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Times New Roman" w:hAnsi="Times New Roman" w:eastAsia="Times New Roman"/>
      <w:sz w:val="2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ascii="Times New Roman" w:hAnsi="Times New Roman" w:eastAsia="Times New Roman"/>
      <w:sz w:val="24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ascii="Times New Roman" w:hAnsi="Times New Roman" w:eastAsia="Times New Roman"/>
      <w:sz w:val="24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ascii="Times New Roman" w:hAnsi="Times New Roman" w:eastAsia="Times New Roman"/>
      <w:sz w:val="24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ascii="Times New Roman" w:hAnsi="Times New Roman" w:eastAsia="Times New Roman"/>
      <w:i/>
      <w:iCs/>
      <w:sz w:val="2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ascii="Times New Roman" w:hAnsi="Times New Roman" w:eastAsia="Times New Roman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ascii="Times New Roman" w:hAnsi="Times New Roman" w:eastAsia="Times New Roman"/>
      <w:i/>
      <w:iCs/>
      <w:sz w:val="24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ascii="Times New Roman" w:hAnsi="Times New Roman" w:eastAsia="Times New Roman"/>
      <w:sz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ascii="Times New Roman" w:hAnsi="Times New Roman" w:eastAsia="Times New Roman"/>
      <w:i/>
      <w:iCs/>
      <w:sz w:val="24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ascii="Times New Roman" w:hAnsi="Times New Roman" w:eastAsia="Times New Roman"/>
      <w:sz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/>
      <w:sz w:val="24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Times New Roman"/>
      <w:sz w:val="24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Times New Roman"/>
      <w:sz w:val="24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Times New Roman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Times New Roman"/>
      <w:b/>
      <w:sz w:val="24"/>
    </w:rPr>
  </w:style>
  <w:style w:customStyle="1" w:styleId="Definition" w:type="paragraph">
    <w:name w:val="Definition"/>
    <w:basedOn w:val="Normal"/>
    <w:rPr>
      <w:rFonts w:ascii="Times New Roman" w:hAnsi="Times New Roman" w:eastAsia="Times New Roman"/>
      <w:sz w:val="24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Times New Roman"/>
      <w:i/>
      <w:sz w:val="24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Times New Roman"/>
      <w:sz w:val="24"/>
    </w:rPr>
  </w:style>
  <w:style w:customStyle="1" w:styleId="ImageCaption" w:type="paragraph">
    <w:name w:val="Image Caption"/>
    <w:basedOn w:val="Caption"/>
    <w:rPr>
      <w:rFonts w:ascii="Times New Roman" w:hAnsi="Times New Roman" w:eastAsia="Times New Roman"/>
      <w:sz w:val="24"/>
    </w:rPr>
  </w:style>
  <w:style w:customStyle="1" w:styleId="Figure" w:type="paragraph">
    <w:name w:val="Figure"/>
    <w:basedOn w:val="Normal"/>
    <w:rPr>
      <w:rFonts w:ascii="Times New Roman" w:hAnsi="Times New Roman" w:eastAsia="Times New Roman"/>
      <w:sz w:val="24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Times New Roman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Times New Roman"/>
      <w:sz w:val="24"/>
    </w:rPr>
  </w:style>
  <w:style w:customStyle="1" w:styleId="VerbatimChar" w:type="character">
    <w:name w:val="Verbatim Char"/>
    <w:basedOn w:val="BodyTextChar"/>
    <w:rPr>
      <w:rFonts w:ascii="Times New Roman" w:hAnsi="Times New Roman" w:eastAsia="Times New Roman"/>
      <w:sz w:val="24"/>
    </w:rPr>
  </w:style>
  <w:style w:customStyle="1" w:styleId="SectionNumber" w:type="character">
    <w:name w:val="Section Number"/>
    <w:basedOn w:val="BodyTextChar"/>
    <w:rPr>
      <w:rFonts w:ascii="Times New Roman" w:hAnsi="Times New Roman" w:eastAsia="Times New Roman"/>
      <w:sz w:val="24"/>
    </w:rPr>
  </w:style>
  <w:style w:styleId="FootnoteReference" w:type="character">
    <w:name w:val="Footnote Reference"/>
    <w:basedOn w:val="BodyTextChar"/>
    <w:rPr>
      <w:rFonts w:ascii="Times New Roman" w:hAnsi="Times New Roman" w:eastAsia="Times New Roman"/>
      <w:sz w:val="24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Times New Roman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 w:eastAsia="Times New Roman"/>
      <w:b w:val="0"/>
      <w:bCs w:val="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Times New Roman"/>
      <w:sz w:val="24"/>
    </w:rPr>
  </w:style>
  <w:style w:type="character" w:customStyle="1" w:styleId="KeywordTok">
    <w:name w:val="KeywordTok"/>
    <w:basedOn w:val="VerbatimChar"/>
    <w:rPr>
      <w:rFonts w:ascii="Times New Roman" w:hAnsi="Times New Roman" w:eastAsia="Times New Roman"/>
      <w:b/>
      <w:sz w:val="24"/>
    </w:rPr>
  </w:style>
  <w:style w:type="character" w:customStyle="1" w:styleId="DataTypeTok">
    <w:name w:val="DataTypeTok"/>
    <w:basedOn w:val="VerbatimChar"/>
    <w:rPr>
      <w:rFonts w:ascii="Times New Roman" w:hAnsi="Times New Roman" w:eastAsia="Times New Roman"/>
      <w:sz w:val="24"/>
    </w:rPr>
  </w:style>
  <w:style w:type="character" w:customStyle="1" w:styleId="DecValTok">
    <w:name w:val="DecValTok"/>
    <w:basedOn w:val="VerbatimChar"/>
    <w:rPr>
      <w:rFonts w:ascii="Times New Roman" w:hAnsi="Times New Roman" w:eastAsia="Times New Roman"/>
      <w:sz w:val="24"/>
    </w:rPr>
  </w:style>
  <w:style w:type="character" w:customStyle="1" w:styleId="BaseNTok">
    <w:name w:val="BaseNTok"/>
    <w:basedOn w:val="VerbatimChar"/>
    <w:rPr>
      <w:rFonts w:ascii="Times New Roman" w:hAnsi="Times New Roman" w:eastAsia="Times New Roman"/>
      <w:sz w:val="24"/>
    </w:rPr>
  </w:style>
  <w:style w:type="character" w:customStyle="1" w:styleId="FloatTok">
    <w:name w:val="FloatTok"/>
    <w:basedOn w:val="VerbatimChar"/>
    <w:rPr>
      <w:rFonts w:ascii="Times New Roman" w:hAnsi="Times New Roman" w:eastAsia="Times New Roman"/>
      <w:sz w:val="24"/>
    </w:rPr>
  </w:style>
  <w:style w:type="character" w:customStyle="1" w:styleId="ConstantTok">
    <w:name w:val="ConstantTok"/>
    <w:basedOn w:val="VerbatimChar"/>
    <w:rPr>
      <w:rFonts w:ascii="Times New Roman" w:hAnsi="Times New Roman" w:eastAsia="Times New Roman"/>
      <w:sz w:val="24"/>
    </w:rPr>
  </w:style>
  <w:style w:type="character" w:customStyle="1" w:styleId="CharTok">
    <w:name w:val="CharTok"/>
    <w:basedOn w:val="VerbatimChar"/>
    <w:rPr>
      <w:rFonts w:ascii="Times New Roman" w:hAnsi="Times New Roman" w:eastAsia="Times New Roman"/>
      <w:sz w:val="24"/>
    </w:rPr>
  </w:style>
  <w:style w:type="character" w:customStyle="1" w:styleId="SpecialCharTok">
    <w:name w:val="SpecialCharTok"/>
    <w:basedOn w:val="VerbatimChar"/>
    <w:rPr>
      <w:rFonts w:ascii="Times New Roman" w:hAnsi="Times New Roman" w:eastAsia="Times New Roman"/>
      <w:sz w:val="24"/>
    </w:rPr>
  </w:style>
  <w:style w:type="character" w:customStyle="1" w:styleId="StringTok">
    <w:name w:val="StringTok"/>
    <w:basedOn w:val="VerbatimChar"/>
    <w:rPr>
      <w:rFonts w:ascii="Times New Roman" w:hAnsi="Times New Roman" w:eastAsia="Times New Roman"/>
      <w:sz w:val="24"/>
    </w:rPr>
  </w:style>
  <w:style w:type="character" w:customStyle="1" w:styleId="VerbatimStringTok">
    <w:name w:val="VerbatimStringTok"/>
    <w:basedOn w:val="VerbatimChar"/>
    <w:rPr>
      <w:rFonts w:ascii="Times New Roman" w:hAnsi="Times New Roman" w:eastAsia="Times New Roman"/>
      <w:sz w:val="24"/>
    </w:rPr>
  </w:style>
  <w:style w:type="character" w:customStyle="1" w:styleId="SpecialStringTok">
    <w:name w:val="SpecialStringTok"/>
    <w:basedOn w:val="VerbatimChar"/>
    <w:rPr>
      <w:rFonts w:ascii="Times New Roman" w:hAnsi="Times New Roman" w:eastAsia="Times New Roman"/>
      <w:sz w:val="24"/>
    </w:rPr>
  </w:style>
  <w:style w:type="character" w:customStyle="1" w:styleId="ImportTok">
    <w:name w:val="ImportTok"/>
    <w:basedOn w:val="VerbatimChar"/>
    <w:rPr>
      <w:rFonts w:ascii="Times New Roman" w:hAnsi="Times New Roman" w:eastAsia="Times New Roman"/>
      <w:b/>
      <w:sz w:val="24"/>
    </w:rPr>
  </w:style>
  <w:style w:type="character" w:customStyle="1" w:styleId="CommentTok">
    <w:name w:val="CommentTok"/>
    <w:basedOn w:val="VerbatimChar"/>
    <w:rPr>
      <w:rFonts w:ascii="Times New Roman" w:hAnsi="Times New Roman" w:eastAsia="Times New Roman"/>
      <w:i/>
      <w:sz w:val="24"/>
    </w:rPr>
  </w:style>
  <w:style w:type="character" w:customStyle="1" w:styleId="DocumentationTok">
    <w:name w:val="DocumentationTok"/>
    <w:basedOn w:val="VerbatimChar"/>
    <w:rPr>
      <w:rFonts w:ascii="Times New Roman" w:hAnsi="Times New Roman" w:eastAsia="Times New Roman"/>
      <w:i/>
      <w:sz w:val="24"/>
    </w:rPr>
  </w:style>
  <w:style w:type="character" w:customStyle="1" w:styleId="AnnotationTok">
    <w:name w:val="AnnotationTok"/>
    <w:basedOn w:val="VerbatimChar"/>
    <w:rPr>
      <w:rFonts w:ascii="Times New Roman" w:hAnsi="Times New Roman" w:eastAsia="Times New Roman"/>
      <w:b/>
      <w:i/>
      <w:sz w:val="24"/>
    </w:rPr>
  </w:style>
  <w:style w:type="character" w:customStyle="1" w:styleId="CommentVarTok">
    <w:name w:val="CommentVarTok"/>
    <w:basedOn w:val="VerbatimChar"/>
    <w:rPr>
      <w:rFonts w:ascii="Times New Roman" w:hAnsi="Times New Roman" w:eastAsia="Times New Roman"/>
      <w:b/>
      <w:i/>
      <w:sz w:val="24"/>
    </w:rPr>
  </w:style>
  <w:style w:type="character" w:customStyle="1" w:styleId="OtherTok">
    <w:name w:val="OtherTok"/>
    <w:basedOn w:val="VerbatimChar"/>
    <w:rPr>
      <w:rFonts w:ascii="Times New Roman" w:hAnsi="Times New Roman" w:eastAsia="Times New Roman"/>
      <w:sz w:val="24"/>
    </w:rPr>
  </w:style>
  <w:style w:type="character" w:customStyle="1" w:styleId="FunctionTok">
    <w:name w:val="FunctionTok"/>
    <w:basedOn w:val="VerbatimChar"/>
    <w:rPr>
      <w:rFonts w:ascii="Times New Roman" w:hAnsi="Times New Roman" w:eastAsia="Times New Roman"/>
      <w:sz w:val="24"/>
    </w:rPr>
  </w:style>
  <w:style w:type="character" w:customStyle="1" w:styleId="VariableTok">
    <w:name w:val="VariableTok"/>
    <w:basedOn w:val="VerbatimChar"/>
    <w:rPr>
      <w:rFonts w:ascii="Times New Roman" w:hAnsi="Times New Roman" w:eastAsia="Times New Roman"/>
      <w:sz w:val="24"/>
    </w:rPr>
  </w:style>
  <w:style w:type="character" w:customStyle="1" w:styleId="ControlFlowTok">
    <w:name w:val="ControlFlowTok"/>
    <w:basedOn w:val="VerbatimChar"/>
    <w:rPr>
      <w:rFonts w:ascii="Times New Roman" w:hAnsi="Times New Roman" w:eastAsia="Times New Roman"/>
      <w:b/>
      <w:sz w:val="24"/>
    </w:rPr>
  </w:style>
  <w:style w:type="character" w:customStyle="1" w:styleId="OperatorTok">
    <w:name w:val="OperatorTok"/>
    <w:basedOn w:val="VerbatimChar"/>
    <w:rPr>
      <w:rFonts w:ascii="Times New Roman" w:hAnsi="Times New Roman" w:eastAsia="Times New Roman"/>
      <w:sz w:val="24"/>
    </w:rPr>
  </w:style>
  <w:style w:type="character" w:customStyle="1" w:styleId="BuiltInTok">
    <w:name w:val="BuiltInTok"/>
    <w:basedOn w:val="VerbatimChar"/>
    <w:rPr>
      <w:rFonts w:ascii="Times New Roman" w:hAnsi="Times New Roman" w:eastAsia="Times New Roman"/>
      <w:sz w:val="24"/>
    </w:rPr>
  </w:style>
  <w:style w:type="character" w:customStyle="1" w:styleId="ExtensionTok">
    <w:name w:val="ExtensionTok"/>
    <w:basedOn w:val="VerbatimChar"/>
    <w:rPr>
      <w:rFonts w:ascii="Times New Roman" w:hAnsi="Times New Roman" w:eastAsia="Times New Roman"/>
      <w:sz w:val="24"/>
    </w:rPr>
  </w:style>
  <w:style w:type="character" w:customStyle="1" w:styleId="PreprocessorTok">
    <w:name w:val="PreprocessorTok"/>
    <w:basedOn w:val="VerbatimChar"/>
    <w:rPr>
      <w:rFonts w:ascii="Times New Roman" w:hAnsi="Times New Roman" w:eastAsia="Times New Roman"/>
      <w:sz w:val="24"/>
    </w:rPr>
  </w:style>
  <w:style w:type="character" w:customStyle="1" w:styleId="AttributeTok">
    <w:name w:val="AttributeTok"/>
    <w:basedOn w:val="VerbatimChar"/>
    <w:rPr>
      <w:rFonts w:ascii="Times New Roman" w:hAnsi="Times New Roman" w:eastAsia="Times New Roman"/>
      <w:sz w:val="24"/>
    </w:rPr>
  </w:style>
  <w:style w:type="character" w:customStyle="1" w:styleId="RegionMarkerTok">
    <w:name w:val="RegionMarkerTok"/>
    <w:basedOn w:val="VerbatimChar"/>
    <w:rPr>
      <w:rFonts w:ascii="Times New Roman" w:hAnsi="Times New Roman" w:eastAsia="Times New Roman"/>
      <w:sz w:val="24"/>
    </w:rPr>
  </w:style>
  <w:style w:type="character" w:customStyle="1" w:styleId="InformationTok">
    <w:name w:val="InformationTok"/>
    <w:basedOn w:val="VerbatimChar"/>
    <w:rPr>
      <w:rFonts w:ascii="Times New Roman" w:hAnsi="Times New Roman" w:eastAsia="Times New Roman"/>
      <w:b/>
      <w:i/>
      <w:sz w:val="24"/>
    </w:rPr>
  </w:style>
  <w:style w:type="character" w:customStyle="1" w:styleId="WarningTok">
    <w:name w:val="WarningTok"/>
    <w:basedOn w:val="VerbatimChar"/>
    <w:rPr>
      <w:rFonts w:ascii="Times New Roman" w:hAnsi="Times New Roman" w:eastAsia="Times New Roman"/>
      <w:b/>
      <w:i/>
      <w:sz w:val="24"/>
    </w:rPr>
  </w:style>
  <w:style w:type="character" w:customStyle="1" w:styleId="AlertTok">
    <w:name w:val="AlertTok"/>
    <w:basedOn w:val="VerbatimChar"/>
    <w:rPr>
      <w:rFonts w:ascii="Times New Roman" w:hAnsi="Times New Roman" w:eastAsia="Times New Roman"/>
      <w:b/>
      <w:sz w:val="24"/>
    </w:rPr>
  </w:style>
  <w:style w:type="character" w:customStyle="1" w:styleId="ErrorTok">
    <w:name w:val="ErrorTok"/>
    <w:basedOn w:val="VerbatimChar"/>
    <w:rPr>
      <w:rFonts w:ascii="Times New Roman" w:hAnsi="Times New Roman" w:eastAsia="Times New Roman"/>
      <w:b/>
      <w:sz w:val="24"/>
    </w:rPr>
  </w:style>
  <w:style w:type="character" w:customStyle="1" w:styleId="NormalTok">
    <w:name w:val="NormalTok"/>
    <w:basedOn w:val="VerbatimChar"/>
    <w:rPr>
      <w:rFonts w:ascii="Times New Roman" w:hAnsi="Times New Roman" w:eastAsia="Times New Roman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2026-10-18T15:03:28Z</dcterms:created>
  <dcterms:modified xsi:type="dcterms:W3CDTF">2026-10-18T15:03:28Z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