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imitações"/>
    <w:p>
      <w:pPr>
        <w:pStyle w:val="Heading1"/>
      </w:pPr>
      <w:r>
        <w:t xml:space="preserve">Limitações</w:t>
      </w:r>
    </w:p>
    <w:p>
      <w:pPr>
        <w:pStyle w:val="FirstParagraph"/>
      </w:pPr>
      <w:r>
        <w:rPr>
          <w:b/>
          <w:bCs/>
        </w:rPr>
        <w:t xml:space="preserve">Estrutura comum das fontes renováveis.</w:t>
      </w:r>
      <w:r>
        <w:t xml:space="preserve"> </w:t>
      </w:r>
      <w:r>
        <w:t xml:space="preserve">Não há dado de custo por tecnologia na matriz nem nas fontes usadas. Por isso, as compras de insumos não energéticos seguiram a proporção do VBP (Wolsky, 1984), e a geração hidrelétrica, a eólica e a solar têm a mesma estrutura de insumos não energéticos por real de produção, salvo pequenas diferenças do reequilíbrio. Como a TUST por MWh também é a mesma, as diferenças entre elas nas emissões por TWh (4,6, 4,8 e 5,0 g CO₂e/kWh, respectivamente) vêm sobretudo do preço médio de cada fonte e, na solar, também da coluna latente copiada do RB, que não compra derivados de petróleo (a hidrelétrica e a eólica do RS os compram na proporção do VBP); não vêm de diferenças na operação e na manutenção das usinas.</w:t>
      </w:r>
    </w:p>
    <w:p>
      <w:pPr>
        <w:pStyle w:val="BodyText"/>
      </w:pPr>
      <w:r>
        <w:rPr>
          <w:b/>
          <w:bCs/>
        </w:rPr>
        <w:t xml:space="preserve">Subsetores sem produção no RS.</w:t>
      </w:r>
      <w:r>
        <w:t xml:space="preserve"> </w:t>
      </w:r>
      <w:r>
        <w:t xml:space="preserve">A geração solar fotovoltaica e a geração a derivados de petróleo não tinham produção no RS em 2019. Os choques nesses subsetores usam colunas latentes, com os coeficientes técnicos e as intensidades de emissão do mesmo subsetor no RB; só a origem dos insumos e, pela D18, a TUST por MWh são as do RS. A D18 elevou o coeficiente de TUST da solar de 0,0953 para 0,1614 e as emissões por TWh de 4.682,1 para 5.003,3 t CO₂e. Como a coluna latente não tem VBP, o ajuste da TUST sai do valor adicionado implícito: na geração a derivados de petróleo, o EOB implícito cai a 6,9% do VBP, abaixo do mínimo imposto às colunas com produção (</w:t>
      </w:r>
      <m:oMath>
        <m:r>
          <m:t>η</m:t>
        </m:r>
      </m:oMath>
      <w:r>
        <w:t xml:space="preserve"> </w:t>
      </w:r>
      <w:r>
        <w:t xml:space="preserve">= 0,10). Essa coluna não entra nos cenários do artigo.</w:t>
      </w:r>
    </w:p>
    <w:p>
      <w:pPr>
        <w:pStyle w:val="BodyText"/>
      </w:pPr>
      <w:r>
        <w:rPr>
          <w:b/>
          <w:bCs/>
        </w:rPr>
        <w:t xml:space="preserve">Resíduo das emissões do S38.</w:t>
      </w:r>
      <w:r>
        <w:t xml:space="preserve"> </w:t>
      </w:r>
      <w:r>
        <w:t xml:space="preserve">Na versão principal (E1), a parte das emissões do S38 da conta-satélite que os níveis do SEEG não explicam ficou com a distribuição e o gás canalizado, na proporção do VBP: 33,8% das emissões do S38 no RS e 58,8% no RB. O diagnóstico da Seção B.11 dá um indício, compatível com a inclusão no S38 de emissões que o SEEG classifica na produção de combustíveis (refino de petróleo e carvão mineral), mas não uma prova: falta a documentação da conta-satélite, o RB não fecha pelo mesmo critério e há um casamento concorrente para o refino. O resíduo pesa sobretudo no cenário de energia elétrica agregada, cujo choque vai à distribuição. Nesse cenário, as emissões do A2 variam −34,0% sem o resíduo (E3) e −31,2% com o refino, a extração de petróleo e gás e o carvão realocados aos setores correspondentes (E4). Entre a E3 e a E4, a variação vai de −2,9% a 1,8% na cesta renovável base, de −0,1% a 2,2% na cesta fóssil base e de −2,8% a 4,2% nas emissões por TWh da eólica. A E4 traz ainda um risco de dupla contagem: as emissões do setor de refino de petróleo e coquerias do RS passam de 2.693,9 para 4.506,0 mil t CO₂e, o que conta o refino duas vezes se a base já o incluir nesse setor.</w:t>
      </w:r>
    </w:p>
    <w:p>
      <w:pPr>
        <w:pStyle w:val="BodyText"/>
      </w:pPr>
      <w:r>
        <w:rPr>
          <w:b/>
          <w:bCs/>
        </w:rPr>
        <w:t xml:space="preserve">Operação, sem bens de capital.</w:t>
      </w:r>
      <w:r>
        <w:t xml:space="preserve"> </w:t>
      </w:r>
      <w:r>
        <w:t xml:space="preserve">O choque do bloco B movimenta a coluna de insumos de 2019 de cada subsetor (combustível, transmissão, manutenção e serviços), isto é, a operação das usinas. A construção das usinas e a fabricação dos equipamentos estão na formação bruta de capital fixo da demanda final e não entram na matriz de coeficientes. Por isso, as emissões por TWh da Tabela 6 não são comparáveis diretamente às de estudos de ciclo de vida, que incluem a implantação e o descomissionamento das usinas.</w:t>
      </w:r>
    </w:p>
    <w:p>
      <w:pPr>
        <w:pStyle w:val="BodyText"/>
      </w:pPr>
      <w:r>
        <w:rPr>
          <w:b/>
          <w:bCs/>
        </w:rPr>
        <w:t xml:space="preserve">Preços por fonte.</w:t>
      </w:r>
      <w:r>
        <w:t xml:space="preserve"> </w:t>
      </w:r>
      <w:r>
        <w:t xml:space="preserve">A participação de cada fonte no VBP da geração saiu dos GWh e dos preços médios dos leilões de geração, corrigidos pelo IPCA e ajustados ao VBP da geração na matriz (só os preços relativos importam). Supôs-se que os preços relativos dos leilões representam os da produção de 2019 (HIPÓTESE). Com preços iguais entre as fontes (P2), as emissões do A2 quase não mudam na energia elétrica agregada (0,0%) e na cesta renovável base (0,0%), mas variam 36,0% na cesta fóssil base. A cesta fóssil é a mais sensível porque, com preços iguais, a geração a carvão do RS fica com VBP menor e, portanto, com mais emissões por real. Nas emissões por TWh, a variação vai de −29,0% na solar a 6,0% na hidrelétrica, porque o choque de 1 TWh é valorado ao preço de cada versão.</w:t>
      </w:r>
    </w:p>
    <w:p>
      <w:pPr>
        <w:pStyle w:val="BodyText"/>
      </w:pPr>
      <w:r>
        <w:rPr>
          <w:b/>
          <w:bCs/>
        </w:rPr>
        <w:t xml:space="preserve">Insumos das térmicas a gás.</w:t>
      </w:r>
      <w:r>
        <w:t xml:space="preserve"> </w:t>
      </w:r>
      <w:r>
        <w:t xml:space="preserve">Com o piso do VBP, o combustível da geração a gás natural é 0,70 do VBP. Com a TUST, as remunerações, os impostos e o EOB mínimo, sobra pouco para os demais insumos: as compras de insumos não energéticos ficaram em 0,026 do VBP no RS e 0,032 no RB, abaixo do limiar de alerta de 0,05 (alerta do teste T12, aceito). Com</w:t>
      </w:r>
      <w:r>
        <w:t xml:space="preserve"> </w:t>
      </w:r>
      <m:oMath>
        <m:r>
          <m:t>κ</m:t>
        </m:r>
      </m:oMath>
      <w:r>
        <w:t xml:space="preserve"> </w:t>
      </w:r>
      <w:r>
        <w:t xml:space="preserve">= 0,60, a menor razão passa a 0,077, e as emissões variam −0,1% na cesta fóssil base e 0,6% por TWh na geração a gás natural. Entre as emissões da Tabela A6, a maior variação é a da solar por TWh, de −7,2%: o piso maior desloca VBP das demais fontes do RB para as térmicas e reduz o preço implícito da solar do RB, que valora o choque.</w:t>
      </w:r>
    </w:p>
    <w:p>
      <w:pPr>
        <w:pStyle w:val="BodyText"/>
      </w:pPr>
      <w:r>
        <w:rPr>
          <w:b/>
          <w:bCs/>
        </w:rPr>
        <w:t xml:space="preserve">Transmissão.</w:t>
      </w:r>
      <w:r>
        <w:t xml:space="preserve"> </w:t>
      </w:r>
      <w:r>
        <w:t xml:space="preserve">O VBP da transmissão são os encargos de uso faturados pelo ONS no ano civil de 2019 (R$ 22.935,6 milhões), repartidos entre as regiões pela participação no VBP do S38 (HIPÓTESE). Com a receita anual permitida de 2019, média de dois ciclos tarifários (R$ 24.883,4 milhões; variante rap_media), as emissões do A2 quase não mudam na energia elétrica agregada (0,0%) e na cesta renovável base (0,1%) e variam 2,5% na cesta fóssil base. Nas emissões por TWh, variam −1,2% na eólica e −1,1% na hidrelétrica. Uma transmissão maior reduz o VBP da geração (Equação (20)) e eleva as emissões por real das térmicas.</w:t>
      </w:r>
    </w:p>
    <w:p>
      <w:pPr>
        <w:pStyle w:val="BodyText"/>
      </w:pPr>
      <w:r>
        <w:rPr>
          <w:b/>
          <w:bCs/>
        </w:rPr>
        <w:t xml:space="preserve">Composição das cestas.</w:t>
      </w:r>
      <w:r>
        <w:t xml:space="preserve"> </w:t>
      </w:r>
      <w:r>
        <w:t xml:space="preserve">Os pesos dos setores nas cestas continuam sendo hipóteses dos autores. A desagregação muda apenas a parcela do S38: na cesta renovável, ela vai à geração eólica; na fóssil, à geração a carvão mineral e a gás natural. A composição das cestas não muda. As sensibilidades dessa atribuição estão na Tabela 5.</w:t>
      </w:r>
    </w:p>
    <w:p>
      <w:pPr>
        <w:pStyle w:val="BodyText"/>
      </w:pPr>
      <w:r>
        <w:rPr>
          <w:b/>
          <w:bCs/>
        </w:rPr>
        <w:t xml:space="preserve">Modelo linear.</w:t>
      </w:r>
      <w:r>
        <w:t xml:space="preserve"> </w:t>
      </w:r>
      <w:r>
        <w:t xml:space="preserve">O modelo continua linear, com os coeficientes médios de 2019. Não há substituição entre fontes nem entre insumos, os preços não mudam, e as emissões incorporadas nos bens e serviços importados do exterior não entram nos resultados.</w:t>
      </w:r>
    </w:p>
    <w:bookmarkEnd w:id="9"/>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24"/>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spacing w:val="15"/>
      <w:sz w:val="24"/>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4"/>
      <w:szCs w:val="20"/>
    </w:rPr>
  </w:style>
  <w:style w:styleId="Bibliography" w:type="paragraph">
    <w:name w:val="Bibliography"/>
    <w:basedOn w:val="Normal"/>
    <w:next w:val="Bibliography"/>
    <w:qFormat/>
    <w:pPr/>
    <w:rPr>
      <w:rFonts w:ascii="Times New Roman" w:hAnsi="Times New Roman" w:eastAsia="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sz w:val="24"/>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sz w:val="24"/>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sz w:val="24"/>
    </w:rPr>
  </w:style>
  <w:style w:styleId="FootnoteText" w:type="paragraph">
    <w:name w:val="Footnote Text"/>
    <w:basedOn w:val="Normal"/>
    <w:next w:val="FootnoteText"/>
    <w:uiPriority w:val="9"/>
    <w:unhideWhenUsed/>
    <w:qFormat/>
    <w:rPr>
      <w:rFonts w:ascii="Times New Roman" w:hAnsi="Times New Roman" w:eastAsia="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sz w:val="24"/>
    </w:rPr>
  </w:style>
  <w:style w:default="1" w:styleId="DefaultParagraphFont" w:type="character">
    <w:name w:val="Default Paragraph Font"/>
    <w:semiHidden/>
    <w:unhideWhenUsed/>
    <w:rPr>
      <w:rFonts w:ascii="Times New Roman" w:hAnsi="Times New Roman" w:eastAsia="Times New Roman"/>
      <w:sz w:val="24"/>
    </w:rPr>
  </w:style>
  <w:style w:default="1" w:styleId="Table" w:type="table">
    <w:name w:val="Table"/>
    <w:basedOn w:val="TableNormal"/>
    <w:semiHidden/>
    <w:unhideWhenUsed/>
    <w:qFormat/>
    <w:rPr>
      <w:rFonts w:ascii="Times New Roman" w:hAnsi="Times New Roman" w:eastAsia="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sz w:val="24"/>
    </w:rPr>
  </w:style>
  <w:style w:customStyle="1" w:styleId="Definition" w:type="paragraph">
    <w:name w:val="Definition"/>
    <w:basedOn w:val="Normal"/>
    <w:rPr>
      <w:rFonts w:ascii="Times New Roman" w:hAnsi="Times New Roman" w:eastAsia="Times New Roman"/>
      <w:sz w:val="24"/>
    </w:rPr>
  </w:style>
  <w:style w:styleId="Caption" w:type="paragraph">
    <w:name w:val="Caption"/>
    <w:basedOn w:val="Normal"/>
    <w:link w:val="BodyTextChar"/>
    <w:pPr>
      <w:spacing w:after="120" w:before="0"/>
    </w:pPr>
    <w:rPr>
      <w:rFonts w:ascii="Times New Roman" w:hAnsi="Times New Roman" w:eastAsia="Times New Roman"/>
      <w:i/>
      <w:sz w:val="24"/>
    </w:rPr>
  </w:style>
  <w:style w:customStyle="1" w:styleId="TableCaption" w:type="paragraph">
    <w:name w:val="Table Caption"/>
    <w:basedOn w:val="Caption"/>
    <w:pPr>
      <w:keepNext/>
    </w:pPr>
    <w:rPr>
      <w:rFonts w:ascii="Times New Roman" w:hAnsi="Times New Roman" w:eastAsia="Times New Roman"/>
      <w:sz w:val="24"/>
    </w:rPr>
  </w:style>
  <w:style w:customStyle="1" w:styleId="ImageCaption" w:type="paragraph">
    <w:name w:val="Image Caption"/>
    <w:basedOn w:val="Caption"/>
    <w:rPr>
      <w:rFonts w:ascii="Times New Roman" w:hAnsi="Times New Roman" w:eastAsia="Times New Roman"/>
      <w:sz w:val="24"/>
    </w:rPr>
  </w:style>
  <w:style w:customStyle="1" w:styleId="Figure" w:type="paragraph">
    <w:name w:val="Figure"/>
    <w:basedOn w:val="Normal"/>
    <w:rPr>
      <w:rFonts w:ascii="Times New Roman" w:hAnsi="Times New Roman" w:eastAsia="Times New Roman"/>
      <w:sz w:val="24"/>
    </w:rPr>
  </w:style>
  <w:style w:customStyle="1" w:styleId="CaptionedFigure" w:type="paragraph">
    <w:name w:val="Captioned Figure"/>
    <w:basedOn w:val="Figure"/>
    <w:pPr>
      <w:keepNext/>
    </w:pPr>
    <w:rPr>
      <w:rFonts w:ascii="Times New Roman" w:hAnsi="Times New Roman" w:eastAsia="Times New Roman"/>
      <w:sz w:val="24"/>
    </w:rPr>
  </w:style>
  <w:style w:customStyle="1" w:styleId="BodyTextChar" w:type="character">
    <w:name w:val="Body Text Char"/>
    <w:basedOn w:val="DefaultParagraphFont"/>
    <w:link w:val="BodyText"/>
    <w:rPr>
      <w:rFonts w:ascii="Times New Roman" w:hAnsi="Times New Roman" w:eastAsia="Times New Roman"/>
      <w:sz w:val="24"/>
    </w:rPr>
  </w:style>
  <w:style w:customStyle="1" w:styleId="VerbatimChar" w:type="character">
    <w:name w:val="Verbatim Char"/>
    <w:basedOn w:val="BodyTextChar"/>
    <w:rPr>
      <w:rFonts w:ascii="Times New Roman" w:hAnsi="Times New Roman" w:eastAsia="Times New Roman"/>
      <w:sz w:val="24"/>
    </w:rPr>
  </w:style>
  <w:style w:customStyle="1" w:styleId="SectionNumber" w:type="character">
    <w:name w:val="Section Number"/>
    <w:basedOn w:val="BodyTextChar"/>
    <w:rPr>
      <w:rFonts w:ascii="Times New Roman" w:hAnsi="Times New Roman" w:eastAsia="Times New Roman"/>
      <w:sz w:val="24"/>
    </w:rPr>
  </w:style>
  <w:style w:styleId="FootnoteReference" w:type="character">
    <w:name w:val="Footnote Reference"/>
    <w:basedOn w:val="BodyTextChar"/>
    <w:rPr>
      <w:rFonts w:ascii="Times New Roman" w:hAnsi="Times New Roman" w:eastAsia="Times New Roman"/>
      <w:sz w:val="24"/>
      <w:vertAlign w:val="superscript"/>
    </w:rPr>
  </w:style>
  <w:style w:styleId="Hyperlink" w:type="character">
    <w:name w:val="Hyperlink"/>
    <w:basedOn w:val="BodyTextChar"/>
    <w:rPr>
      <w:rFonts w:ascii="Times New Roman" w:hAnsi="Times New Roman" w:eastAsia="Times New Roman"/>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eastAsia="Times New Roman"/>
      <w:sz w:val="24"/>
    </w:rPr>
  </w:style>
  <w:style w:type="character" w:customStyle="1" w:styleId="KeywordTok">
    <w:name w:val="KeywordTok"/>
    <w:basedOn w:val="VerbatimChar"/>
    <w:rPr>
      <w:rFonts w:ascii="Times New Roman" w:hAnsi="Times New Roman" w:eastAsia="Times New Roman"/>
      <w:b/>
      <w:sz w:val="24"/>
    </w:rPr>
  </w:style>
  <w:style w:type="character" w:customStyle="1" w:styleId="DataTypeTok">
    <w:name w:val="DataTypeTok"/>
    <w:basedOn w:val="VerbatimChar"/>
    <w:rPr>
      <w:rFonts w:ascii="Times New Roman" w:hAnsi="Times New Roman" w:eastAsia="Times New Roman"/>
      <w:sz w:val="24"/>
    </w:rPr>
  </w:style>
  <w:style w:type="character" w:customStyle="1" w:styleId="DecValTok">
    <w:name w:val="DecValTok"/>
    <w:basedOn w:val="VerbatimChar"/>
    <w:rPr>
      <w:rFonts w:ascii="Times New Roman" w:hAnsi="Times New Roman" w:eastAsia="Times New Roman"/>
      <w:sz w:val="24"/>
    </w:rPr>
  </w:style>
  <w:style w:type="character" w:customStyle="1" w:styleId="BaseNTok">
    <w:name w:val="BaseNTok"/>
    <w:basedOn w:val="VerbatimChar"/>
    <w:rPr>
      <w:rFonts w:ascii="Times New Roman" w:hAnsi="Times New Roman" w:eastAsia="Times New Roman"/>
      <w:sz w:val="24"/>
    </w:rPr>
  </w:style>
  <w:style w:type="character" w:customStyle="1" w:styleId="FloatTok">
    <w:name w:val="FloatTok"/>
    <w:basedOn w:val="VerbatimChar"/>
    <w:rPr>
      <w:rFonts w:ascii="Times New Roman" w:hAnsi="Times New Roman" w:eastAsia="Times New Roman"/>
      <w:sz w:val="24"/>
    </w:rPr>
  </w:style>
  <w:style w:type="character" w:customStyle="1" w:styleId="ConstantTok">
    <w:name w:val="ConstantTok"/>
    <w:basedOn w:val="VerbatimChar"/>
    <w:rPr>
      <w:rFonts w:ascii="Times New Roman" w:hAnsi="Times New Roman" w:eastAsia="Times New Roman"/>
      <w:sz w:val="24"/>
    </w:rPr>
  </w:style>
  <w:style w:type="character" w:customStyle="1" w:styleId="CharTok">
    <w:name w:val="CharTok"/>
    <w:basedOn w:val="VerbatimChar"/>
    <w:rPr>
      <w:rFonts w:ascii="Times New Roman" w:hAnsi="Times New Roman" w:eastAsia="Times New Roman"/>
      <w:sz w:val="24"/>
    </w:rPr>
  </w:style>
  <w:style w:type="character" w:customStyle="1" w:styleId="SpecialCharTok">
    <w:name w:val="SpecialCharTok"/>
    <w:basedOn w:val="VerbatimChar"/>
    <w:rPr>
      <w:rFonts w:ascii="Times New Roman" w:hAnsi="Times New Roman" w:eastAsia="Times New Roman"/>
      <w:sz w:val="24"/>
    </w:rPr>
  </w:style>
  <w:style w:type="character" w:customStyle="1" w:styleId="StringTok">
    <w:name w:val="StringTok"/>
    <w:basedOn w:val="VerbatimChar"/>
    <w:rPr>
      <w:rFonts w:ascii="Times New Roman" w:hAnsi="Times New Roman" w:eastAsia="Times New Roman"/>
      <w:sz w:val="24"/>
    </w:rPr>
  </w:style>
  <w:style w:type="character" w:customStyle="1" w:styleId="VerbatimStringTok">
    <w:name w:val="VerbatimStringTok"/>
    <w:basedOn w:val="VerbatimChar"/>
    <w:rPr>
      <w:rFonts w:ascii="Times New Roman" w:hAnsi="Times New Roman" w:eastAsia="Times New Roman"/>
      <w:sz w:val="24"/>
    </w:rPr>
  </w:style>
  <w:style w:type="character" w:customStyle="1" w:styleId="SpecialStringTok">
    <w:name w:val="SpecialStringTok"/>
    <w:basedOn w:val="VerbatimChar"/>
    <w:rPr>
      <w:rFonts w:ascii="Times New Roman" w:hAnsi="Times New Roman" w:eastAsia="Times New Roman"/>
      <w:sz w:val="24"/>
    </w:rPr>
  </w:style>
  <w:style w:type="character" w:customStyle="1" w:styleId="ImportTok">
    <w:name w:val="ImportTok"/>
    <w:basedOn w:val="VerbatimChar"/>
    <w:rPr>
      <w:rFonts w:ascii="Times New Roman" w:hAnsi="Times New Roman" w:eastAsia="Times New Roman"/>
      <w:b/>
      <w:sz w:val="24"/>
    </w:rPr>
  </w:style>
  <w:style w:type="character" w:customStyle="1" w:styleId="CommentTok">
    <w:name w:val="CommentTok"/>
    <w:basedOn w:val="VerbatimChar"/>
    <w:rPr>
      <w:rFonts w:ascii="Times New Roman" w:hAnsi="Times New Roman" w:eastAsia="Times New Roman"/>
      <w:i/>
      <w:sz w:val="24"/>
    </w:rPr>
  </w:style>
  <w:style w:type="character" w:customStyle="1" w:styleId="DocumentationTok">
    <w:name w:val="DocumentationTok"/>
    <w:basedOn w:val="VerbatimChar"/>
    <w:rPr>
      <w:rFonts w:ascii="Times New Roman" w:hAnsi="Times New Roman" w:eastAsia="Times New Roman"/>
      <w:i/>
      <w:sz w:val="24"/>
    </w:rPr>
  </w:style>
  <w:style w:type="character" w:customStyle="1" w:styleId="AnnotationTok">
    <w:name w:val="AnnotationTok"/>
    <w:basedOn w:val="VerbatimChar"/>
    <w:rPr>
      <w:rFonts w:ascii="Times New Roman" w:hAnsi="Times New Roman" w:eastAsia="Times New Roman"/>
      <w:b/>
      <w:i/>
      <w:sz w:val="24"/>
    </w:rPr>
  </w:style>
  <w:style w:type="character" w:customStyle="1" w:styleId="CommentVarTok">
    <w:name w:val="CommentVarTok"/>
    <w:basedOn w:val="VerbatimChar"/>
    <w:rPr>
      <w:rFonts w:ascii="Times New Roman" w:hAnsi="Times New Roman" w:eastAsia="Times New Roman"/>
      <w:b/>
      <w:i/>
      <w:sz w:val="24"/>
    </w:rPr>
  </w:style>
  <w:style w:type="character" w:customStyle="1" w:styleId="OtherTok">
    <w:name w:val="OtherTok"/>
    <w:basedOn w:val="VerbatimChar"/>
    <w:rPr>
      <w:rFonts w:ascii="Times New Roman" w:hAnsi="Times New Roman" w:eastAsia="Times New Roman"/>
      <w:sz w:val="24"/>
    </w:rPr>
  </w:style>
  <w:style w:type="character" w:customStyle="1" w:styleId="FunctionTok">
    <w:name w:val="FunctionTok"/>
    <w:basedOn w:val="VerbatimChar"/>
    <w:rPr>
      <w:rFonts w:ascii="Times New Roman" w:hAnsi="Times New Roman" w:eastAsia="Times New Roman"/>
      <w:sz w:val="24"/>
    </w:rPr>
  </w:style>
  <w:style w:type="character" w:customStyle="1" w:styleId="VariableTok">
    <w:name w:val="VariableTok"/>
    <w:basedOn w:val="VerbatimChar"/>
    <w:rPr>
      <w:rFonts w:ascii="Times New Roman" w:hAnsi="Times New Roman" w:eastAsia="Times New Roman"/>
      <w:sz w:val="24"/>
    </w:rPr>
  </w:style>
  <w:style w:type="character" w:customStyle="1" w:styleId="ControlFlowTok">
    <w:name w:val="ControlFlowTok"/>
    <w:basedOn w:val="VerbatimChar"/>
    <w:rPr>
      <w:rFonts w:ascii="Times New Roman" w:hAnsi="Times New Roman" w:eastAsia="Times New Roman"/>
      <w:b/>
      <w:sz w:val="24"/>
    </w:rPr>
  </w:style>
  <w:style w:type="character" w:customStyle="1" w:styleId="OperatorTok">
    <w:name w:val="OperatorTok"/>
    <w:basedOn w:val="VerbatimChar"/>
    <w:rPr>
      <w:rFonts w:ascii="Times New Roman" w:hAnsi="Times New Roman" w:eastAsia="Times New Roman"/>
      <w:sz w:val="24"/>
    </w:rPr>
  </w:style>
  <w:style w:type="character" w:customStyle="1" w:styleId="BuiltInTok">
    <w:name w:val="BuiltInTok"/>
    <w:basedOn w:val="VerbatimChar"/>
    <w:rPr>
      <w:rFonts w:ascii="Times New Roman" w:hAnsi="Times New Roman" w:eastAsia="Times New Roman"/>
      <w:sz w:val="24"/>
    </w:rPr>
  </w:style>
  <w:style w:type="character" w:customStyle="1" w:styleId="ExtensionTok">
    <w:name w:val="ExtensionTok"/>
    <w:basedOn w:val="VerbatimChar"/>
    <w:rPr>
      <w:rFonts w:ascii="Times New Roman" w:hAnsi="Times New Roman" w:eastAsia="Times New Roman"/>
      <w:sz w:val="24"/>
    </w:rPr>
  </w:style>
  <w:style w:type="character" w:customStyle="1" w:styleId="PreprocessorTok">
    <w:name w:val="PreprocessorTok"/>
    <w:basedOn w:val="VerbatimChar"/>
    <w:rPr>
      <w:rFonts w:ascii="Times New Roman" w:hAnsi="Times New Roman" w:eastAsia="Times New Roman"/>
      <w:sz w:val="24"/>
    </w:rPr>
  </w:style>
  <w:style w:type="character" w:customStyle="1" w:styleId="AttributeTok">
    <w:name w:val="AttributeTok"/>
    <w:basedOn w:val="VerbatimChar"/>
    <w:rPr>
      <w:rFonts w:ascii="Times New Roman" w:hAnsi="Times New Roman" w:eastAsia="Times New Roman"/>
      <w:sz w:val="24"/>
    </w:rPr>
  </w:style>
  <w:style w:type="character" w:customStyle="1" w:styleId="RegionMarkerTok">
    <w:name w:val="RegionMarkerTok"/>
    <w:basedOn w:val="VerbatimChar"/>
    <w:rPr>
      <w:rFonts w:ascii="Times New Roman" w:hAnsi="Times New Roman" w:eastAsia="Times New Roman"/>
      <w:sz w:val="24"/>
    </w:rPr>
  </w:style>
  <w:style w:type="character" w:customStyle="1" w:styleId="InformationTok">
    <w:name w:val="InformationTok"/>
    <w:basedOn w:val="VerbatimChar"/>
    <w:rPr>
      <w:rFonts w:ascii="Times New Roman" w:hAnsi="Times New Roman" w:eastAsia="Times New Roman"/>
      <w:b/>
      <w:i/>
      <w:sz w:val="24"/>
    </w:rPr>
  </w:style>
  <w:style w:type="character" w:customStyle="1" w:styleId="WarningTok">
    <w:name w:val="WarningTok"/>
    <w:basedOn w:val="VerbatimChar"/>
    <w:rPr>
      <w:rFonts w:ascii="Times New Roman" w:hAnsi="Times New Roman" w:eastAsia="Times New Roman"/>
      <w:b/>
      <w:i/>
      <w:sz w:val="24"/>
    </w:rPr>
  </w:style>
  <w:style w:type="character" w:customStyle="1" w:styleId="AlertTok">
    <w:name w:val="AlertTok"/>
    <w:basedOn w:val="VerbatimChar"/>
    <w:rPr>
      <w:rFonts w:ascii="Times New Roman" w:hAnsi="Times New Roman" w:eastAsia="Times New Roman"/>
      <w:b/>
      <w:sz w:val="24"/>
    </w:rPr>
  </w:style>
  <w:style w:type="character" w:customStyle="1" w:styleId="ErrorTok">
    <w:name w:val="ErrorTok"/>
    <w:basedOn w:val="VerbatimChar"/>
    <w:rPr>
      <w:rFonts w:ascii="Times New Roman" w:hAnsi="Times New Roman" w:eastAsia="Times New Roman"/>
      <w:b/>
      <w:sz w:val="24"/>
    </w:rPr>
  </w:style>
  <w:style w:type="character" w:customStyle="1" w:styleId="NormalTok">
    <w:name w:val="NormalTok"/>
    <w:basedOn w:val="VerbatimChar"/>
    <w:rPr>
      <w:rFonts w:ascii="Times New Roman" w:hAnsi="Times New Roman" w:eastAsia="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2026-10-18T14:48:42Z</dcterms:created>
  <dcterms:modified xsi:type="dcterms:W3CDTF">2026-10-18T14:48:42Z</dcterms:modified>
</cp:coreProperties>
</file>

<file path=docProps/custom.xml><?xml version="1.0" encoding="utf-8"?>
<Properties xmlns="http://schemas.openxmlformats.org/officeDocument/2006/custom-properties" xmlns:vt="http://schemas.openxmlformats.org/officeDocument/2006/docPropsVTypes"/>
</file>