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9" w:name="referências"/>
    <w:p>
      <w:pPr>
        <w:pStyle w:val="Heading1"/>
      </w:pPr>
      <w:r>
        <w:t xml:space="preserve">Referências</w:t>
      </w:r>
    </w:p>
    <w:p>
      <w:pPr>
        <w:pStyle w:val="FirstParagraph"/>
      </w:pPr>
      <w:r>
        <w:t xml:space="preserve">AGÊNCIA NACIONAL DE ENERGIA ELÉTRICA (ANEEL). Resolução Normativa nº 559, de 27 de junho de 2013. Estabelece o procedimento de cálculo das Tarifas de Uso do Sistema de Transmissão – TUST.</w:t>
      </w:r>
      <w:r>
        <w:t xml:space="preserve"> </w:t>
      </w:r>
      <w:r>
        <w:rPr>
          <w:b/>
          <w:bCs/>
        </w:rPr>
        <w:t xml:space="preserve">Diário Oficial da União</w:t>
      </w:r>
      <w:r>
        <w:t xml:space="preserve">: seção 1, Brasília, DF, n. 123, p. 87, 28 jun. 2013. Disponível em:</w:t>
      </w:r>
      <w:r>
        <w:t xml:space="preserve"> </w:t>
      </w:r>
      <w:hyperlink r:id="rId9">
        <w:r>
          <w:rPr>
            <w:rStyle w:val="Hyperlink"/>
          </w:rPr>
          <w:t xml:space="preserve">https://pesquisa.in.gov.br/imprensa/servlet/INPDFViewer?jornal=1&amp;pagina=87&amp;data=28/06/2013&amp;captchafield=firstAccess</w:t>
        </w:r>
      </w:hyperlink>
      <w:r>
        <w:t xml:space="preserve">. Acesso em: 15 out. 2026.</w:t>
      </w:r>
    </w:p>
    <w:p>
      <w:pPr>
        <w:pStyle w:val="BodyText"/>
      </w:pPr>
      <w:r>
        <w:t xml:space="preserve">AGÊNCIA NACIONAL DE ENERGIA ELÉTRICA (ANEEL). Resolução Homologatória nº 2.408, de 26 de junho de 2018. [Estabelece as Receitas Anuais Permitidas (RAP) das concessionárias de transmissão de energia elétrica para o ciclo 2018-2019]. Brasília: ANEEL, 2018a. Decisão registrada na ata da 22ª Reunião Pública Ordinária da Diretoria, de 26 jun. 2018, item 4 (conjunto de dados abertos “Pautas e atas das reuniões públicas da Diretoria”). Disponível em:</w:t>
      </w:r>
      <w:r>
        <w:t xml:space="preserve"> </w:t>
      </w:r>
      <w:hyperlink r:id="rId10">
        <w:r>
          <w:rPr>
            <w:rStyle w:val="Hyperlink"/>
          </w:rPr>
          <w:t xml:space="preserve">https://dadosabertos.aneel.gov.br/dataset/a9fb5b4b-59ca-4be8-9690-876d9547271d/resource/43386a8b-4781-44ec-a082-fa7fdfe33186/download/pautas-atas-reunioes-publicas-diretoria.csv</w:t>
        </w:r>
      </w:hyperlink>
      <w:r>
        <w:t xml:space="preserve">. Acesso em: 15 out. 2026.</w:t>
      </w:r>
    </w:p>
    <w:p>
      <w:pPr>
        <w:pStyle w:val="BodyText"/>
      </w:pPr>
      <w:r>
        <w:t xml:space="preserve">AGÊNCIA NACIONAL DE ENERGIA ELÉTRICA (ANEEL). Resolução Homologatória nº 2.509, de 18 de dezembro de 2018. [Estabelece a receita fixa e a tarifa da energia das Centrais de Geração Angra 1 e 2 para o ano de 2019].</w:t>
      </w:r>
      <w:r>
        <w:t xml:space="preserve"> </w:t>
      </w:r>
      <w:r>
        <w:rPr>
          <w:b/>
          <w:bCs/>
        </w:rPr>
        <w:t xml:space="preserve">Diário Oficial da União</w:t>
      </w:r>
      <w:r>
        <w:t xml:space="preserve">: seção 1, Brasília, DF, n. 247, p. 56, 26 dez. 2018b. Disponível em:</w:t>
      </w:r>
      <w:r>
        <w:t xml:space="preserve"> </w:t>
      </w:r>
      <w:hyperlink r:id="rId11">
        <w:r>
          <w:rPr>
            <w:rStyle w:val="Hyperlink"/>
          </w:rPr>
          <w:t xml:space="preserve">https://www.in.gov.br/web/dou/-/resolucao-homologatoria-n-2-509-de-18-de-dezembro-de-2018-56785419</w:t>
        </w:r>
      </w:hyperlink>
      <w:r>
        <w:t xml:space="preserve">. Acesso em: 15 out. 2026.</w:t>
      </w:r>
    </w:p>
    <w:p>
      <w:pPr>
        <w:pStyle w:val="BodyText"/>
      </w:pPr>
      <w:r>
        <w:t xml:space="preserve">AGÊNCIA NACIONAL DE ENERGIA ELÉTRICA (ANEEL). Resolução Homologatória nº 2.565, de 25 de junho de 2019. Estabelece as Receitas Anuais Permitidas pela disponibilização das instalações sob responsabilidade de concessionárias de serviço público de transmissão de energia, e dá outras providências.</w:t>
      </w:r>
      <w:r>
        <w:t xml:space="preserve"> </w:t>
      </w:r>
      <w:r>
        <w:rPr>
          <w:b/>
          <w:bCs/>
        </w:rPr>
        <w:t xml:space="preserve">Diário Oficial da União</w:t>
      </w:r>
      <w:r>
        <w:t xml:space="preserve">: seção 1, Brasília, DF, n. 123, p. 120, 28 jun. 2019. Disponível em:</w:t>
      </w:r>
      <w:r>
        <w:t xml:space="preserve"> </w:t>
      </w:r>
      <w:hyperlink r:id="rId12">
        <w:r>
          <w:rPr>
            <w:rStyle w:val="Hyperlink"/>
          </w:rPr>
          <w:t xml:space="preserve">https://www.in.gov.br/web/dou/-/resolucao-homologatoria-n-2.565-de-25-de-junho-de-2019-179410784</w:t>
        </w:r>
      </w:hyperlink>
      <w:r>
        <w:t xml:space="preserve">. Acesso em: 15 out. 2026.</w:t>
      </w:r>
    </w:p>
    <w:p>
      <w:pPr>
        <w:pStyle w:val="BodyText"/>
      </w:pPr>
      <w:r>
        <w:t xml:space="preserve">AGÊNCIA NACIONAL DE ENERGIA ELÉTRICA (ANEEL).</w:t>
      </w:r>
      <w:r>
        <w:t xml:space="preserve"> </w:t>
      </w:r>
      <w:r>
        <w:rPr>
          <w:b/>
          <w:bCs/>
        </w:rPr>
        <w:t xml:space="preserve">Resultado dos leilões de geração</w:t>
      </w:r>
      <w:r>
        <w:t xml:space="preserve">. Brasília: ANEEL, [2026]. Conjunto de dados abertos (arquivo resultado-leiloes-geracao.csv). Disponível em:</w:t>
      </w:r>
      <w:r>
        <w:t xml:space="preserve"> </w:t>
      </w:r>
      <w:hyperlink r:id="rId13">
        <w:r>
          <w:rPr>
            <w:rStyle w:val="Hyperlink"/>
          </w:rPr>
          <w:t xml:space="preserve">https://dadosabertos.aneel.gov.br/dataset/593537c6-9e0e-4ed9-817a-2c5d5de05147/resource/a1328fc1-f06b-437d-8893-57ac2c8103df/download/resultado-leiloes-geracao.csv</w:t>
        </w:r>
      </w:hyperlink>
      <w:r>
        <w:t xml:space="preserve">. Acesso em: 15 out. 2026.</w:t>
      </w:r>
    </w:p>
    <w:p>
      <w:pPr>
        <w:pStyle w:val="BodyText"/>
      </w:pPr>
      <w:r>
        <w:t xml:space="preserve">BRASIL. Ministério de Minas e Energia. Secretaria de Petróleo, Gás Natural e Biocombustíveis. Departamento de Gás Natural.</w:t>
      </w:r>
      <w:r>
        <w:t xml:space="preserve"> </w:t>
      </w:r>
      <w:r>
        <w:rPr>
          <w:b/>
          <w:bCs/>
        </w:rPr>
        <w:t xml:space="preserve">Boletim mensal de acompanhamento da indústria de gás natural</w:t>
      </w:r>
      <w:r>
        <w:t xml:space="preserve">: edição n. 154, destaques de dezembro de 2019. Brasília: MME, 2020. Disponível em:</w:t>
      </w:r>
      <w:r>
        <w:t xml:space="preserve"> </w:t>
      </w:r>
      <w:hyperlink r:id="rId14">
        <w:r>
          <w:rPr>
            <w:rStyle w:val="Hyperlink"/>
          </w:rPr>
          <w:t xml:space="preserve">https://www.gov.br/mme/pt-br/assuntos/secretarias/petroleo-gas-natural-e-biocombustiveis/publicacoes-1/boletim-mensal-de-acompanhamento-da-industria-de-gas-natural/2019/12-boletim-mensal-de-acompanhamento-da-industria-de-gas-natural-dezembro-2019.pdf</w:t>
        </w:r>
      </w:hyperlink>
      <w:r>
        <w:t xml:space="preserve">. Acesso em: 15 out. 2026.</w:t>
      </w:r>
    </w:p>
    <w:p>
      <w:pPr>
        <w:pStyle w:val="BodyText"/>
      </w:pPr>
      <w:r>
        <w:t xml:space="preserve">BRASIL. Ministério do Desenvolvimento, Indústria, Comércio e Serviços.</w:t>
      </w:r>
      <w:r>
        <w:t xml:space="preserve"> </w:t>
      </w:r>
      <w:r>
        <w:rPr>
          <w:b/>
          <w:bCs/>
        </w:rPr>
        <w:t xml:space="preserve">Comex Stat</w:t>
      </w:r>
      <w:r>
        <w:t xml:space="preserve">: importações brasileiras de 2019 por NCM (2716.00.00, 2711.11.00 e 2711.21.00), valor FOB. Brasília: MDIC, [2026]. Consulta pela API (https://api-comexstat.mdic.gov.br/general). Disponível em:</w:t>
      </w:r>
      <w:r>
        <w:t xml:space="preserve"> </w:t>
      </w:r>
      <w:hyperlink r:id="rId15">
        <w:r>
          <w:rPr>
            <w:rStyle w:val="Hyperlink"/>
          </w:rPr>
          <w:t xml:space="preserve">https://comexstat.mdic.gov.br/</w:t>
        </w:r>
      </w:hyperlink>
      <w:r>
        <w:t xml:space="preserve">. Acesso em: 15 out. 2026.</w:t>
      </w:r>
    </w:p>
    <w:p>
      <w:pPr>
        <w:pStyle w:val="BodyText"/>
      </w:pPr>
      <w:r>
        <w:t xml:space="preserve">CANALENERGIA. Aneel define Receitas Anuais Permitidas das transmissoras em R$ 25,7 bilhões.</w:t>
      </w:r>
      <w:r>
        <w:t xml:space="preserve"> </w:t>
      </w:r>
      <w:r>
        <w:rPr>
          <w:b/>
          <w:bCs/>
        </w:rPr>
        <w:t xml:space="preserve">CanalEnergia</w:t>
      </w:r>
      <w:r>
        <w:t xml:space="preserve">, [</w:t>
      </w:r>
      <w:r>
        <w:rPr>
          <w:i/>
          <w:iCs/>
        </w:rPr>
        <w:t xml:space="preserve">S. l.</w:t>
      </w:r>
      <w:r>
        <w:t xml:space="preserve">], 25 jun. 2019. Disponível em:</w:t>
      </w:r>
      <w:r>
        <w:t xml:space="preserve"> </w:t>
      </w:r>
      <w:hyperlink r:id="rId16">
        <w:r>
          <w:rPr>
            <w:rStyle w:val="Hyperlink"/>
          </w:rPr>
          <w:t xml:space="preserve">https://www.canalenergia.com.br/noticias/53103542/aneel-define-receitas-anuais-permitidas-das-transmissoras-em-r-257-milhoes</w:t>
        </w:r>
      </w:hyperlink>
      <w:r>
        <w:t xml:space="preserve">. [CONFERIR]</w:t>
      </w:r>
    </w:p>
    <w:p>
      <w:pPr>
        <w:pStyle w:val="BodyText"/>
      </w:pPr>
      <w:r>
        <w:t xml:space="preserve">COMPANHIA DE GÁS DE MINAS GERAIS (GASMIG).</w:t>
      </w:r>
      <w:r>
        <w:t xml:space="preserve"> </w:t>
      </w:r>
      <w:r>
        <w:rPr>
          <w:b/>
          <w:bCs/>
        </w:rPr>
        <w:t xml:space="preserve">Demonstrações Financeiras Padronizadas (DFP)</w:t>
      </w:r>
      <w:r>
        <w:t xml:space="preserve">: 31/12/2019. Belo Horizonte: Gasmig, [2020]. Documento entregue à Comissão de Valores Mobiliários (CVM), Rede de Divulgação Externa (RAD). Disponível em:</w:t>
      </w:r>
      <w:r>
        <w:t xml:space="preserve"> </w:t>
      </w:r>
      <w:hyperlink r:id="rId17">
        <w:r>
          <w:rPr>
            <w:rStyle w:val="Hyperlink"/>
          </w:rPr>
          <w:t xml:space="preserve">https://www.rad.cvm.gov.br/ENETCONSULTA/frmDownloadDocumento.aspx?CodigoInstituicao=1&amp;NumeroSequencialDocumento=92390</w:t>
        </w:r>
      </w:hyperlink>
      <w:r>
        <w:t xml:space="preserve">. Acesso em: 15 out. 2026.</w:t>
      </w:r>
    </w:p>
    <w:p>
      <w:pPr>
        <w:pStyle w:val="BodyText"/>
      </w:pPr>
      <w:r>
        <w:t xml:space="preserve">COMPANHIA DE GÁS DE SÃO PAULO (COMGÁS).</w:t>
      </w:r>
      <w:r>
        <w:t xml:space="preserve"> </w:t>
      </w:r>
      <w:r>
        <w:rPr>
          <w:b/>
          <w:bCs/>
        </w:rPr>
        <w:t xml:space="preserve">Demonstrações Financeiras Padronizadas (DFP)</w:t>
      </w:r>
      <w:r>
        <w:t xml:space="preserve">: 31/12/2019, versão 2. São Paulo: Comgás, [2020]. Documento entregue à Comissão de Valores Mobiliários (CVM), Rede de Divulgação Externa (RAD). Disponível em:</w:t>
      </w:r>
      <w:r>
        <w:t xml:space="preserve"> </w:t>
      </w:r>
      <w:hyperlink r:id="rId18">
        <w:r>
          <w:rPr>
            <w:rStyle w:val="Hyperlink"/>
          </w:rPr>
          <w:t xml:space="preserve">https://www.rad.cvm.gov.br/ENETCONSULTA/frmDownloadDocumento.aspx?CodigoInstituicao=1&amp;NumeroSequencialDocumento=90958</w:t>
        </w:r>
      </w:hyperlink>
      <w:r>
        <w:t xml:space="preserve">. Acesso em: 15 out. 2026.</w:t>
      </w:r>
    </w:p>
    <w:p>
      <w:pPr>
        <w:pStyle w:val="BodyText"/>
      </w:pPr>
      <w:r>
        <w:t xml:space="preserve">COMPANHIA DE GÁS DO ESTADO DO RIO GRANDE DO SUL (SULGÁS). Demonstrações contábeis dos exercícios findos em 31/12/2019 e 31/12/2018.</w:t>
      </w:r>
      <w:r>
        <w:t xml:space="preserve"> </w:t>
      </w:r>
      <w:r>
        <w:rPr>
          <w:i/>
          <w:iCs/>
        </w:rPr>
        <w:t xml:space="preserve">In</w:t>
      </w:r>
      <w:r>
        <w:t xml:space="preserve">: RIO GRANDE DO SUL. Secretaria da Fazenda. Contadoria e Auditoria-Geral do Estado.</w:t>
      </w:r>
      <w:r>
        <w:t xml:space="preserve"> </w:t>
      </w:r>
      <w:r>
        <w:rPr>
          <w:b/>
          <w:bCs/>
        </w:rPr>
        <w:t xml:space="preserve">Prestação de contas do Governador 2019</w:t>
      </w:r>
      <w:r>
        <w:t xml:space="preserve">. Porto Alegre: CAGE, 2020. v. 5, pt. 2. Disponível em:</w:t>
      </w:r>
      <w:r>
        <w:t xml:space="preserve"> </w:t>
      </w:r>
      <w:hyperlink r:id="rId19">
        <w:r>
          <w:rPr>
            <w:rStyle w:val="Hyperlink"/>
          </w:rPr>
          <w:t xml:space="preserve">https://cage.fazenda.rs.gov.br/upload/arquivos/202507/02143858-prestacao-de-contas-do-governador-2019-v-5-2.pdf</w:t>
        </w:r>
      </w:hyperlink>
      <w:r>
        <w:t xml:space="preserve">. Acesso em: 15 out. 2026. [CONFERIR]</w:t>
      </w:r>
    </w:p>
    <w:p>
      <w:pPr>
        <w:pStyle w:val="BodyText"/>
      </w:pPr>
      <w:r>
        <w:t xml:space="preserve">COMPANHIA DISTRIBUIDORA DE GÁS DO RIO DE JANEIRO (CEG).</w:t>
      </w:r>
      <w:r>
        <w:t xml:space="preserve"> </w:t>
      </w:r>
      <w:r>
        <w:rPr>
          <w:b/>
          <w:bCs/>
        </w:rPr>
        <w:t xml:space="preserve">Demonstrações Financeiras Padronizadas (DFP)</w:t>
      </w:r>
      <w:r>
        <w:t xml:space="preserve">: 31/12/2019. Rio de Janeiro: CEG, [2020]. Documento entregue à Comissão de Valores Mobiliários (CVM), Rede de Divulgação Externa (RAD). Disponível em:</w:t>
      </w:r>
      <w:r>
        <w:t xml:space="preserve"> </w:t>
      </w:r>
      <w:hyperlink r:id="rId20">
        <w:r>
          <w:rPr>
            <w:rStyle w:val="Hyperlink"/>
          </w:rPr>
          <w:t xml:space="preserve">https://www.rad.cvm.gov.br/ENETCONSULTA/frmDownloadDocumento.aspx?CodigoInstituicao=1&amp;NumeroSequencialDocumento=91986</w:t>
        </w:r>
      </w:hyperlink>
      <w:r>
        <w:t xml:space="preserve">. Acesso em: 15 out. 2026.</w:t>
      </w:r>
    </w:p>
    <w:p>
      <w:pPr>
        <w:pStyle w:val="BodyText"/>
      </w:pPr>
      <w:r>
        <w:t xml:space="preserve">EMPRESA DE PESQUISA ENERGÉTICA (EPE).</w:t>
      </w:r>
      <w:r>
        <w:t xml:space="preserve"> </w:t>
      </w:r>
      <w:r>
        <w:rPr>
          <w:b/>
          <w:bCs/>
        </w:rPr>
        <w:t xml:space="preserve">Balanço Energético Nacional 2020</w:t>
      </w:r>
      <w:r>
        <w:t xml:space="preserve">: ano base 2019. Rio de Janeiro: EPE, 2020. 292 p. Disponível em:</w:t>
      </w:r>
      <w:r>
        <w:t xml:space="preserve"> </w:t>
      </w:r>
      <w:hyperlink r:id="rId21">
        <w:r>
          <w:rPr>
            <w:rStyle w:val="Hyperlink"/>
          </w:rPr>
          <w:t xml:space="preserve">https://www.epe.gov.br/sites-pt/publicacoes-dados-abertos/publicacoes/PublicacoesArquivos/publicacao-479/topico-528/BEN2020_sp.pdf</w:t>
        </w:r>
      </w:hyperlink>
      <w:r>
        <w:t xml:space="preserve">. Acesso em: 15 out. 2026.</w:t>
      </w:r>
    </w:p>
    <w:p>
      <w:pPr>
        <w:pStyle w:val="BodyText"/>
      </w:pPr>
      <w:r>
        <w:t xml:space="preserve">HADDAD, Eduardo Amaral; ARAÚJO, Inácio Fernandes de; ROCHA, Ademir; VALE, Vinicius de Almeida. Matriz interestadual de insumo-produto para o Brasil, 2019.</w:t>
      </w:r>
      <w:r>
        <w:t xml:space="preserve"> </w:t>
      </w:r>
      <w:r>
        <w:rPr>
          <w:b/>
          <w:bCs/>
        </w:rPr>
        <w:t xml:space="preserve">Revista Brasileira de Estudos Regionais e Urbanos</w:t>
      </w:r>
      <w:r>
        <w:t xml:space="preserve">, v. 19, n. 4, p. 607–638, 2025. DOI: 10.54766/rberu.v19i4.1225.</w:t>
      </w:r>
    </w:p>
    <w:p>
      <w:pPr>
        <w:pStyle w:val="BodyText"/>
      </w:pPr>
      <w:r>
        <w:t xml:space="preserve">INSTITUTO BRASILEIRO DE GEOGRAFIA E ESTATÍSTICA (IBGE).</w:t>
      </w:r>
      <w:r>
        <w:t xml:space="preserve"> </w:t>
      </w:r>
      <w:r>
        <w:rPr>
          <w:b/>
          <w:bCs/>
        </w:rPr>
        <w:t xml:space="preserve">Cadastro Central de Empresas 2019</w:t>
      </w:r>
      <w:r>
        <w:t xml:space="preserve">: Tabela 6450 – Unidades locais, pessoal ocupado total e assalariado, salários e outras remunerações, por seção, divisão, grupo e classe da classificação de atividades (CNAE 2.0). Rio de Janeiro: IBGE, 2021. Sistema IBGE de Recuperação Automática (SIDRA). Disponível em:</w:t>
      </w:r>
      <w:r>
        <w:t xml:space="preserve"> </w:t>
      </w:r>
      <w:hyperlink r:id="rId22">
        <w:r>
          <w:rPr>
            <w:rStyle w:val="Hyperlink"/>
          </w:rPr>
          <w:t xml:space="preserve">https://sidra.ibge.gov.br/tabela/6450</w:t>
        </w:r>
      </w:hyperlink>
      <w:r>
        <w:t xml:space="preserve">. Acesso em: 15 out. 2026.</w:t>
      </w:r>
    </w:p>
    <w:p>
      <w:pPr>
        <w:pStyle w:val="BodyText"/>
      </w:pPr>
      <w:r>
        <w:t xml:space="preserve">INSTITUTO BRASILEIRO DE GEOGRAFIA E ESTATÍSTICA (IBGE).</w:t>
      </w:r>
      <w:r>
        <w:t xml:space="preserve"> </w:t>
      </w:r>
      <w:r>
        <w:rPr>
          <w:b/>
          <w:bCs/>
        </w:rPr>
        <w:t xml:space="preserve">Índice Nacional de Preços ao Consumidor Amplo</w:t>
      </w:r>
      <w:r>
        <w:t xml:space="preserve">: Tabela 1737 – IPCA – Série histórica com número-índice, variação mensal e variações acumuladas em 3 meses, em 6 meses, no ano e em 12 meses (a partir de dezembro/1979). Rio de Janeiro: IBGE, 2026. Sistema IBGE de Recuperação Automática (SIDRA). Disponível em:</w:t>
      </w:r>
      <w:r>
        <w:t xml:space="preserve"> </w:t>
      </w:r>
      <w:hyperlink r:id="rId23">
        <w:r>
          <w:rPr>
            <w:rStyle w:val="Hyperlink"/>
          </w:rPr>
          <w:t xml:space="preserve">https://sidra.ibge.gov.br/tabela/1737</w:t>
        </w:r>
      </w:hyperlink>
      <w:r>
        <w:t xml:space="preserve">. Acesso em: 15 out. 2026.</w:t>
      </w:r>
    </w:p>
    <w:p>
      <w:pPr>
        <w:pStyle w:val="BodyText"/>
      </w:pPr>
      <w:r>
        <w:t xml:space="preserve">LAHR, Michael; DE MESNARD, Louis. Biproportional techniques in input-output analysis: table updating and structural analysis.</w:t>
      </w:r>
      <w:r>
        <w:t xml:space="preserve"> </w:t>
      </w:r>
      <w:r>
        <w:rPr>
          <w:b/>
          <w:bCs/>
        </w:rPr>
        <w:t xml:space="preserve">Economic Systems Research</w:t>
      </w:r>
      <w:r>
        <w:t xml:space="preserve">, v. 16, n. 2, p. 115–134, 2004. DOI: 10.1080/0953531042000219259.</w:t>
      </w:r>
    </w:p>
    <w:p>
      <w:pPr>
        <w:pStyle w:val="BodyText"/>
      </w:pPr>
      <w:r>
        <w:t xml:space="preserve">LENZEN, Manfred. Aggregation versus disaggregation in input–output analysis of the environment.</w:t>
      </w:r>
      <w:r>
        <w:t xml:space="preserve"> </w:t>
      </w:r>
      <w:r>
        <w:rPr>
          <w:b/>
          <w:bCs/>
        </w:rPr>
        <w:t xml:space="preserve">Economic Systems Research</w:t>
      </w:r>
      <w:r>
        <w:t xml:space="preserve">, v. 23, n. 1, p. 73–89, 2011. DOI: 10.1080/09535314.2010.548793.</w:t>
      </w:r>
    </w:p>
    <w:p>
      <w:pPr>
        <w:pStyle w:val="BodyText"/>
      </w:pPr>
      <w:r>
        <w:t xml:space="preserve">LINDNER, Sören; LEGAULT, Julien; GUAN, Dabo. Disaggregating input–output models with incomplete information.</w:t>
      </w:r>
      <w:r>
        <w:t xml:space="preserve"> </w:t>
      </w:r>
      <w:r>
        <w:rPr>
          <w:b/>
          <w:bCs/>
        </w:rPr>
        <w:t xml:space="preserve">Economic Systems Research</w:t>
      </w:r>
      <w:r>
        <w:t xml:space="preserve">, v. 24, n. 4, p. 329–347, 2012. DOI: 10.1080/09535314.2012.689954.</w:t>
      </w:r>
    </w:p>
    <w:p>
      <w:pPr>
        <w:pStyle w:val="BodyText"/>
      </w:pPr>
      <w:r>
        <w:t xml:space="preserve">LINDNER, Sören; LEGAULT, Julien; GUAN, Dabo. Disaggregating the electricity sector of China’s input–output table for improved environmental life-cycle assessment.</w:t>
      </w:r>
      <w:r>
        <w:t xml:space="preserve"> </w:t>
      </w:r>
      <w:r>
        <w:rPr>
          <w:b/>
          <w:bCs/>
        </w:rPr>
        <w:t xml:space="preserve">Economic Systems Research</w:t>
      </w:r>
      <w:r>
        <w:t xml:space="preserve">, v. 25, n. 3, p. 300–320, 2013. DOI: 10.1080/09535314.2012.746646.</w:t>
      </w:r>
    </w:p>
    <w:p>
      <w:pPr>
        <w:pStyle w:val="BodyText"/>
      </w:pPr>
      <w:r>
        <w:t xml:space="preserve">MILLER, Ronald E.; BLAIR, Peter D.</w:t>
      </w:r>
      <w:r>
        <w:t xml:space="preserve"> </w:t>
      </w:r>
      <w:r>
        <w:rPr>
          <w:b/>
          <w:bCs/>
        </w:rPr>
        <w:t xml:space="preserve">Input-output analysis</w:t>
      </w:r>
      <w:r>
        <w:t xml:space="preserve">: foundations and extensions. 3. ed. Cambridge: Cambridge University Press, 2022. DOI: 10.1017/9781108676212.</w:t>
      </w:r>
    </w:p>
    <w:p>
      <w:pPr>
        <w:pStyle w:val="BodyText"/>
      </w:pPr>
      <w:r>
        <w:t xml:space="preserve">NÚCLEO DE ECONOMIA REGIONAL E URBANA DA UNIVERSIDADE DE SÃO PAULO (NEREUS).</w:t>
      </w:r>
      <w:r>
        <w:t xml:space="preserve"> </w:t>
      </w:r>
      <w:r>
        <w:rPr>
          <w:b/>
          <w:bCs/>
        </w:rPr>
        <w:t xml:space="preserve">Matriz interestadual de insumo-produto, 2019 (setor × setor)</w:t>
      </w:r>
      <w:r>
        <w:t xml:space="preserve">: agregada em duas regiões, Rio Grande do Sul e Restante do Brasil, com contas socioambientais (emissões de CO₂e, consumo de energia, uso de água e ocupações). São Paulo: NEREUS/USP, [2025?]. 1 planilha eletrônica. Dados cedidos aos autores. [CONFERIR]</w:t>
      </w:r>
    </w:p>
    <w:p>
      <w:pPr>
        <w:pStyle w:val="BodyText"/>
      </w:pPr>
      <w:r>
        <w:t xml:space="preserve">OPERADOR NACIONAL DO SISTEMA ELÉTRICO (ONS).</w:t>
      </w:r>
      <w:r>
        <w:t xml:space="preserve"> </w:t>
      </w:r>
      <w:r>
        <w:rPr>
          <w:b/>
          <w:bCs/>
        </w:rPr>
        <w:t xml:space="preserve">Relatório da síntese da apuração mensal de serviços e encargos da transmissão</w:t>
      </w:r>
      <w:r>
        <w:t xml:space="preserve">: dezembro/2018. Rio de Janeiro: ONS, 2019a. (ONS DTA/SA-002/2019). Disponível em:</w:t>
      </w:r>
      <w:r>
        <w:t xml:space="preserve"> </w:t>
      </w:r>
      <w:hyperlink r:id="rId24">
        <w:r>
          <w:rPr>
            <w:rStyle w:val="Hyperlink"/>
          </w:rPr>
          <w:t xml:space="preserve">https://www.ons.org.br/AcervoDigitalDocumentosEPublicacoes/SEAMSE_201812.pdf</w:t>
        </w:r>
      </w:hyperlink>
      <w:r>
        <w:t xml:space="preserve">. Acesso em: 16 out. 2026.</w:t>
      </w:r>
    </w:p>
    <w:p>
      <w:pPr>
        <w:pStyle w:val="BodyText"/>
      </w:pPr>
      <w:r>
        <w:t xml:space="preserve">OPERADOR NACIONAL DO SISTEMA ELÉTRICO (ONS).</w:t>
      </w:r>
      <w:r>
        <w:t xml:space="preserve"> </w:t>
      </w:r>
      <w:r>
        <w:rPr>
          <w:b/>
          <w:bCs/>
        </w:rPr>
        <w:t xml:space="preserve">Relatório da síntese da apuração mensal de serviços e encargos da transmissão</w:t>
      </w:r>
      <w:r>
        <w:t xml:space="preserve">: junho/2019. Rio de Janeiro: ONS, 2019b. (ONS DTA/SA-0048/2019). Disponível em:</w:t>
      </w:r>
      <w:r>
        <w:t xml:space="preserve"> </w:t>
      </w:r>
      <w:hyperlink r:id="rId25">
        <w:r>
          <w:rPr>
            <w:rStyle w:val="Hyperlink"/>
          </w:rPr>
          <w:t xml:space="preserve">https://www.ons.org.br/AcervoDigitalDocumentosEPublicacoes/SEAMSE_201906.pdf</w:t>
        </w:r>
      </w:hyperlink>
      <w:r>
        <w:t xml:space="preserve">. Acesso em: 16 out. 2026.</w:t>
      </w:r>
    </w:p>
    <w:p>
      <w:pPr>
        <w:pStyle w:val="BodyText"/>
      </w:pPr>
      <w:r>
        <w:t xml:space="preserve">OPERADOR NACIONAL DO SISTEMA ELÉTRICO (ONS).</w:t>
      </w:r>
      <w:r>
        <w:t xml:space="preserve"> </w:t>
      </w:r>
      <w:r>
        <w:rPr>
          <w:b/>
          <w:bCs/>
        </w:rPr>
        <w:t xml:space="preserve">Relatório da síntese da apuração mensal de serviços e encargos da transmissão</w:t>
      </w:r>
      <w:r>
        <w:t xml:space="preserve">: dezembro/2019. Rio de Janeiro: ONS, 2020. (ONS DTA/SA-0001/2020). Disponível em:</w:t>
      </w:r>
      <w:r>
        <w:t xml:space="preserve"> </w:t>
      </w:r>
      <w:hyperlink r:id="rId26">
        <w:r>
          <w:rPr>
            <w:rStyle w:val="Hyperlink"/>
          </w:rPr>
          <w:t xml:space="preserve">https://www.ons.org.br/AcervoDigitalDocumentosEPublicacoes/SEAMSE_201912.pdf</w:t>
        </w:r>
      </w:hyperlink>
      <w:r>
        <w:t xml:space="preserve">. Acesso em: 15 out. 2026.</w:t>
      </w:r>
    </w:p>
    <w:p>
      <w:pPr>
        <w:pStyle w:val="BodyText"/>
      </w:pPr>
      <w:r>
        <w:t xml:space="preserve">OPERADOR NACIONAL DO SISTEMA ELÉTRICO (ONS).</w:t>
      </w:r>
      <w:r>
        <w:t xml:space="preserve"> </w:t>
      </w:r>
      <w:r>
        <w:rPr>
          <w:b/>
          <w:bCs/>
        </w:rPr>
        <w:t xml:space="preserve">Geração por usina em base horária</w:t>
      </w:r>
      <w:r>
        <w:t xml:space="preserve">: 2019. Rio de Janeiro: ONS, [2026]. Conjunto de dados abertos (arquivo GERACAO_USINA-2_2019.parquet). Disponível em:</w:t>
      </w:r>
      <w:r>
        <w:t xml:space="preserve"> </w:t>
      </w:r>
      <w:hyperlink r:id="rId27">
        <w:r>
          <w:rPr>
            <w:rStyle w:val="Hyperlink"/>
          </w:rPr>
          <w:t xml:space="preserve">https://ons-aws-prod-opendata.s3.amazonaws.com/dataset/geracao_usina_2_ho/GERACAO_USINA-2_2019.parquet</w:t>
        </w:r>
      </w:hyperlink>
      <w:r>
        <w:t xml:space="preserve">. Acesso em: 15 out. 2026.</w:t>
      </w:r>
    </w:p>
    <w:p>
      <w:pPr>
        <w:pStyle w:val="BodyText"/>
      </w:pPr>
      <w:r>
        <w:t xml:space="preserve">PETERS, Jeffrey C. The GTAP-Power data base: disaggregating the electricity sector in the GTAP data base.</w:t>
      </w:r>
      <w:r>
        <w:t xml:space="preserve"> </w:t>
      </w:r>
      <w:r>
        <w:rPr>
          <w:b/>
          <w:bCs/>
        </w:rPr>
        <w:t xml:space="preserve">Journal of Global Economic Analysis</w:t>
      </w:r>
      <w:r>
        <w:t xml:space="preserve">, v. 1, n. 1, p. 209–250, 2016. DOI: 10.21642/JGEA.010104AF.</w:t>
      </w:r>
    </w:p>
    <w:p>
      <w:pPr>
        <w:pStyle w:val="BodyText"/>
      </w:pPr>
      <w:r>
        <w:t xml:space="preserve">SISTEMA DE ESTIMATIVAS DE EMISSÕES E REMOÇÕES DE GASES DE EFEITO ESTUFA (SEEG).</w:t>
      </w:r>
      <w:r>
        <w:t xml:space="preserve"> </w:t>
      </w:r>
      <w:r>
        <w:rPr>
          <w:b/>
          <w:bCs/>
        </w:rPr>
        <w:t xml:space="preserve">Dados nacionais 13.0</w:t>
      </w:r>
      <w:r>
        <w:t xml:space="preserve">. [</w:t>
      </w:r>
      <w:r>
        <w:rPr>
          <w:i/>
          <w:iCs/>
        </w:rPr>
        <w:t xml:space="preserve">S. l.</w:t>
      </w:r>
      <w:r>
        <w:t xml:space="preserve">]: Observatório do Clima, 2025. 1 planilha eletrônica. Disponível em:</w:t>
      </w:r>
      <w:r>
        <w:t xml:space="preserve"> </w:t>
      </w:r>
      <w:hyperlink r:id="rId28">
        <w:r>
          <w:rPr>
            <w:rStyle w:val="Hyperlink"/>
          </w:rPr>
          <w:t xml:space="preserve">https://seeg.eco.br/wp-content/uploads/2025/12/Dados-nacionais-13.0.xlsx</w:t>
        </w:r>
      </w:hyperlink>
      <w:r>
        <w:t xml:space="preserve">. Acesso em: 15 out. 2026.</w:t>
      </w:r>
    </w:p>
    <w:p>
      <w:pPr>
        <w:pStyle w:val="BodyText"/>
      </w:pPr>
      <w:r>
        <w:t xml:space="preserve">WOLSKY, Alan M. Disaggregating input-output models.</w:t>
      </w:r>
      <w:r>
        <w:t xml:space="preserve"> </w:t>
      </w:r>
      <w:r>
        <w:rPr>
          <w:b/>
          <w:bCs/>
        </w:rPr>
        <w:t xml:space="preserve">The Review of Economics and Statistics</w:t>
      </w:r>
      <w:r>
        <w:t xml:space="preserve">, v. 66, n. 2, p. 283–291, 1984. DOI: 10.2307/1925829.</w:t>
      </w:r>
    </w:p>
    <w:bookmarkEnd w:id="29"/>
    <w:sectPr>
      <w:footnotePr>
        <w:numRestart w:val="eachSect"/>
      </w:footnotePr>
      <w:pgSz w:w="11906" w:h="16838"/>
      <w:pgMar w:left="1417" w:right="1417" w:top="1417" w:bottom="141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Times New Roman" w:hAnsi="Times New Roman" w:eastAsia="Times New Roman"/>
      <w:sz w:val="24"/>
    </w:rPr>
  </w:style>
  <w:style w:styleId="BodyText" w:type="paragraph">
    <w:name w:val="Body Text"/>
    <w:basedOn w:val="Normal"/>
    <w:link w:val="BodyTextChar"/>
    <w:qFormat/>
    <w:pPr>
      <w:spacing w:after="180" w:before="180"/>
    </w:pPr>
    <w:rPr>
      <w:rFonts w:ascii="Times New Roman" w:hAnsi="Times New Roman" w:eastAsia="Times New Roman"/>
      <w:sz w:val="24"/>
    </w:rPr>
  </w:style>
  <w:style w:customStyle="1" w:styleId="FirstParagraph" w:type="paragraph">
    <w:name w:val="First Paragraph"/>
    <w:basedOn w:val="BodyText"/>
    <w:next w:val="BodyText"/>
    <w:qFormat/>
    <w:rPr>
      <w:rFonts w:ascii="Times New Roman" w:hAnsi="Times New Roman" w:eastAsia="Times New Roman"/>
      <w:sz w:val="24"/>
    </w:rPr>
  </w:style>
  <w:style w:customStyle="1" w:styleId="Compact" w:type="paragraph">
    <w:name w:val="Compact"/>
    <w:basedOn w:val="BodyText"/>
    <w:qFormat/>
    <w:pPr>
      <w:spacing w:after="36" w:before="36"/>
    </w:pPr>
    <w:rPr>
      <w:rFonts w:ascii="Times New Roman" w:hAnsi="Times New Roman" w:eastAsia="Times New Roman"/>
      <w:sz w:val="24"/>
    </w:r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ascii="Times New Roman" w:hAnsi="Times New Roman" w:eastAsia="Times New Roman"/>
      <w:sz w:val="24"/>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ascii="Times New Roman" w:hAnsi="Times New Roman" w:eastAsia="Times New Roman"/>
      <w:sz w:val="24"/>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ascii="Times New Roman" w:hAnsi="Times New Roman" w:eastAsia="Times New Roman"/>
      <w:spacing w:val="15"/>
      <w:sz w:val="24"/>
      <w:szCs w:val="28"/>
    </w:rPr>
  </w:style>
  <w:style w:customStyle="1" w:styleId="SubtitleChar" w:type="character">
    <w:name w:val="Subtitle Char"/>
    <w:basedOn w:val="DefaultParagraphFont"/>
    <w:link w:val="Subtitle"/>
    <w:uiPriority w:val="11"/>
    <w:rsid w:val="00A10FD9"/>
    <w:rPr>
      <w:rFonts w:cstheme="majorBidi" w:eastAsiaTheme="majorEastAsia" w:ascii="Times New Roman" w:hAnsi="Times New Roman" w:eastAsia="Times New Roman"/>
      <w:spacing w:val="15"/>
      <w:sz w:val="24"/>
      <w:szCs w:val="28"/>
    </w:rPr>
  </w:style>
  <w:style w:customStyle="1" w:styleId="Author" w:type="paragraph">
    <w:name w:val="Author"/>
    <w:basedOn w:val="Title"/>
    <w:next w:val="BodyText"/>
    <w:qFormat/>
    <w:pPr>
      <w:keepNext/>
      <w:keepLines/>
    </w:pPr>
    <w:rPr>
      <w:rFonts w:ascii="Times New Roman" w:hAnsi="Times New Roman" w:eastAsia="Times New Roman"/>
      <w:sz w:val="24"/>
      <w:szCs w:val="24"/>
    </w:rPr>
  </w:style>
  <w:style w:styleId="Date" w:type="paragraph">
    <w:name w:val="Date"/>
    <w:basedOn w:val="Title"/>
    <w:next w:val="BodyText"/>
    <w:qFormat/>
    <w:pPr>
      <w:keepNext/>
      <w:keepLines/>
    </w:pPr>
    <w:rPr>
      <w:rFonts w:ascii="Times New Roman" w:hAnsi="Times New Roman" w:eastAsia="Times New Roman"/>
      <w:sz w:val="24"/>
      <w:szCs w:val="24"/>
    </w:rPr>
  </w:style>
  <w:style w:customStyle="1" w:styleId="AbstractTitle" w:type="paragraph">
    <w:name w:val="Abstract Title"/>
    <w:basedOn w:val="Normal"/>
    <w:next w:val="Abstract"/>
    <w:qFormat/>
    <w:pPr>
      <w:keepNext/>
      <w:keepLines/>
      <w:spacing w:after="0" w:before="300"/>
      <w:jc w:val="center"/>
    </w:pPr>
    <w:rPr>
      <w:rFonts w:ascii="Times New Roman" w:hAnsi="Times New Roman" w:eastAsia="Times New Roman"/>
      <w:b/>
      <w:sz w:val="24"/>
      <w:szCs w:val="20"/>
    </w:rPr>
  </w:style>
  <w:style w:customStyle="1" w:styleId="Abstract" w:type="paragraph">
    <w:name w:val="Abstract"/>
    <w:basedOn w:val="Normal"/>
    <w:next w:val="BodyText"/>
    <w:qFormat/>
    <w:pPr>
      <w:keepNext/>
      <w:keepLines/>
      <w:spacing w:after="300" w:before="100"/>
    </w:pPr>
    <w:rPr>
      <w:rFonts w:ascii="Times New Roman" w:hAnsi="Times New Roman" w:eastAsia="Times New Roman"/>
      <w:sz w:val="24"/>
      <w:szCs w:val="20"/>
    </w:rPr>
  </w:style>
  <w:style w:styleId="Bibliography" w:type="paragraph">
    <w:name w:val="Bibliography"/>
    <w:basedOn w:val="Normal"/>
    <w:next w:val="Bibliography"/>
    <w:qFormat/>
    <w:pPr/>
    <w:rPr>
      <w:rFonts w:ascii="Times New Roman" w:hAnsi="Times New Roman" w:eastAsia="Times New Roman"/>
      <w:sz w:val="24"/>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ascii="Times New Roman" w:hAnsi="Times New Roman" w:eastAsia="Times New Roman"/>
      <w:sz w:val="24"/>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ascii="Times New Roman" w:hAnsi="Times New Roman" w:eastAsia="Times New Roman"/>
      <w:sz w:val="24"/>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ascii="Times New Roman" w:hAnsi="Times New Roman" w:eastAsia="Times New Roman"/>
      <w:sz w:val="24"/>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ascii="Times New Roman" w:hAnsi="Times New Roman" w:eastAsia="Times New Roman"/>
      <w:i/>
      <w:iCs/>
      <w:sz w:val="24"/>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ascii="Times New Roman" w:hAnsi="Times New Roman" w:eastAsia="Times New Roman"/>
      <w:sz w:val="24"/>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ascii="Times New Roman" w:hAnsi="Times New Roman" w:eastAsia="Times New Roman"/>
      <w:i/>
      <w:iCs/>
      <w:sz w:val="24"/>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ascii="Times New Roman" w:hAnsi="Times New Roman" w:eastAsia="Times New Roman"/>
      <w:sz w:val="24"/>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ascii="Times New Roman" w:hAnsi="Times New Roman" w:eastAsia="Times New Roman"/>
      <w:i/>
      <w:iCs/>
      <w:sz w:val="24"/>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ascii="Times New Roman" w:hAnsi="Times New Roman" w:eastAsia="Times New Roman"/>
      <w:sz w:val="24"/>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ascii="Times New Roman" w:hAnsi="Times New Roman" w:eastAsia="Times New Roman"/>
      <w:sz w:val="24"/>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ascii="Times New Roman" w:hAnsi="Times New Roman" w:eastAsia="Times New Roman"/>
      <w:sz w:val="24"/>
      <w:szCs w:val="32"/>
    </w:rPr>
  </w:style>
  <w:style w:customStyle="1" w:styleId="Heading3Char" w:type="character">
    <w:name w:val="Heading 3 Char"/>
    <w:basedOn w:val="DefaultParagraphFont"/>
    <w:link w:val="Heading3"/>
    <w:uiPriority w:val="9"/>
    <w:semiHidden/>
    <w:rsid w:val="00A10FD9"/>
    <w:rPr>
      <w:rFonts w:cstheme="majorBidi" w:eastAsiaTheme="majorEastAsia" w:ascii="Times New Roman" w:hAnsi="Times New Roman" w:eastAsia="Times New Roman"/>
      <w:sz w:val="24"/>
      <w:szCs w:val="28"/>
    </w:rPr>
  </w:style>
  <w:style w:customStyle="1" w:styleId="Heading4Char" w:type="character">
    <w:name w:val="Heading 4 Char"/>
    <w:basedOn w:val="DefaultParagraphFont"/>
    <w:link w:val="Heading4"/>
    <w:uiPriority w:val="9"/>
    <w:semiHidden/>
    <w:rsid w:val="00A10FD9"/>
    <w:rPr>
      <w:rFonts w:cstheme="majorBidi" w:eastAsiaTheme="majorEastAsia" w:ascii="Times New Roman" w:hAnsi="Times New Roman" w:eastAsia="Times New Roman"/>
      <w:i/>
      <w:iCs/>
      <w:sz w:val="24"/>
    </w:rPr>
  </w:style>
  <w:style w:customStyle="1" w:styleId="Heading5Char" w:type="character">
    <w:name w:val="Heading 5 Char"/>
    <w:basedOn w:val="DefaultParagraphFont"/>
    <w:link w:val="Heading5"/>
    <w:uiPriority w:val="9"/>
    <w:semiHidden/>
    <w:rsid w:val="00A10FD9"/>
    <w:rPr>
      <w:rFonts w:cstheme="majorBidi" w:eastAsiaTheme="majorEastAsia" w:ascii="Times New Roman" w:hAnsi="Times New Roman" w:eastAsia="Times New Roman"/>
      <w:sz w:val="24"/>
    </w:rPr>
  </w:style>
  <w:style w:customStyle="1" w:styleId="Heading6Char" w:type="character">
    <w:name w:val="Heading 6 Char"/>
    <w:basedOn w:val="DefaultParagraphFont"/>
    <w:link w:val="Heading6"/>
    <w:uiPriority w:val="9"/>
    <w:semiHidden/>
    <w:rsid w:val="00A10FD9"/>
    <w:rPr>
      <w:rFonts w:cstheme="majorBidi" w:eastAsiaTheme="majorEastAsia" w:ascii="Times New Roman" w:hAnsi="Times New Roman" w:eastAsia="Times New Roman"/>
      <w:i/>
      <w:iCs/>
      <w:sz w:val="24"/>
    </w:rPr>
  </w:style>
  <w:style w:customStyle="1" w:styleId="Heading7Char" w:type="character">
    <w:name w:val="Heading 7 Char"/>
    <w:basedOn w:val="DefaultParagraphFont"/>
    <w:link w:val="Heading7"/>
    <w:uiPriority w:val="9"/>
    <w:semiHidden/>
    <w:rsid w:val="00A10FD9"/>
    <w:rPr>
      <w:rFonts w:cstheme="majorBidi" w:eastAsiaTheme="majorEastAsia" w:ascii="Times New Roman" w:hAnsi="Times New Roman" w:eastAsia="Times New Roman"/>
      <w:sz w:val="24"/>
    </w:rPr>
  </w:style>
  <w:style w:customStyle="1" w:styleId="Heading8Char" w:type="character">
    <w:name w:val="Heading 8 Char"/>
    <w:basedOn w:val="DefaultParagraphFont"/>
    <w:link w:val="Heading8"/>
    <w:uiPriority w:val="9"/>
    <w:semiHidden/>
    <w:rsid w:val="00A10FD9"/>
    <w:rPr>
      <w:rFonts w:cstheme="majorBidi" w:eastAsiaTheme="majorEastAsia" w:ascii="Times New Roman" w:hAnsi="Times New Roman" w:eastAsia="Times New Roman"/>
      <w:i/>
      <w:iCs/>
      <w:sz w:val="24"/>
    </w:rPr>
  </w:style>
  <w:style w:customStyle="1" w:styleId="Heading9Char" w:type="character">
    <w:name w:val="Heading 9 Char"/>
    <w:basedOn w:val="DefaultParagraphFont"/>
    <w:link w:val="Heading9"/>
    <w:uiPriority w:val="9"/>
    <w:semiHidden/>
    <w:rsid w:val="00A10FD9"/>
    <w:rPr>
      <w:rFonts w:cstheme="majorBidi" w:eastAsiaTheme="majorEastAsia" w:ascii="Times New Roman" w:hAnsi="Times New Roman" w:eastAsia="Times New Roman"/>
      <w:sz w:val="24"/>
    </w:rPr>
  </w:style>
  <w:style w:styleId="BlockText" w:type="paragraph">
    <w:name w:val="Block Text"/>
    <w:basedOn w:val="BodyText"/>
    <w:next w:val="BodyText"/>
    <w:uiPriority w:val="9"/>
    <w:unhideWhenUsed/>
    <w:qFormat/>
    <w:pPr>
      <w:spacing w:after="100" w:before="100"/>
      <w:ind w:firstLine="0" w:left="480" w:right="480"/>
    </w:pPr>
    <w:rPr>
      <w:rFonts w:ascii="Times New Roman" w:hAnsi="Times New Roman" w:eastAsia="Times New Roman"/>
      <w:sz w:val="24"/>
    </w:rPr>
  </w:style>
  <w:style w:styleId="FootnoteText" w:type="paragraph">
    <w:name w:val="Footnote Text"/>
    <w:basedOn w:val="Normal"/>
    <w:next w:val="FootnoteText"/>
    <w:uiPriority w:val="9"/>
    <w:unhideWhenUsed/>
    <w:qFormat/>
    <w:rPr>
      <w:rFonts w:ascii="Times New Roman" w:hAnsi="Times New Roman" w:eastAsia="Times New Roman"/>
      <w:sz w:val="24"/>
    </w:rPr>
  </w:style>
  <w:style w:styleId="FootnoteBlockText" w:type="paragraph">
    <w:name w:val="Footnote Block Text"/>
    <w:basedOn w:val="FootnoteText"/>
    <w:next w:val="FootnoteText"/>
    <w:uiPriority w:val="9"/>
    <w:unhideWhenUsed/>
    <w:qFormat/>
    <w:pPr>
      <w:spacing w:after="100" w:before="100"/>
      <w:ind w:firstLine="0" w:left="480" w:right="480"/>
    </w:pPr>
    <w:rPr>
      <w:rFonts w:ascii="Times New Roman" w:hAnsi="Times New Roman" w:eastAsia="Times New Roman"/>
      <w:sz w:val="24"/>
    </w:rPr>
  </w:style>
  <w:style w:default="1" w:styleId="DefaultParagraphFont" w:type="character">
    <w:name w:val="Default Paragraph Font"/>
    <w:semiHidden/>
    <w:unhideWhenUsed/>
    <w:rPr>
      <w:rFonts w:ascii="Times New Roman" w:hAnsi="Times New Roman" w:eastAsia="Times New Roman"/>
      <w:sz w:val="24"/>
    </w:rPr>
  </w:style>
  <w:style w:default="1" w:styleId="Table" w:type="table">
    <w:name w:val="Table"/>
    <w:basedOn w:val="TableNormal"/>
    <w:semiHidden/>
    <w:unhideWhenUsed/>
    <w:qFormat/>
    <w:rPr>
      <w:rFonts w:ascii="Times New Roman" w:hAnsi="Times New Roman" w:eastAsia="Times New Roman"/>
      <w:sz w:val="24"/>
    </w:rPr>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rFonts w:ascii="Times New Roman" w:hAnsi="Times New Roman" w:eastAsia="Times New Roman"/>
      <w:b/>
      <w:sz w:val="24"/>
    </w:rPr>
  </w:style>
  <w:style w:customStyle="1" w:styleId="Definition" w:type="paragraph">
    <w:name w:val="Definition"/>
    <w:basedOn w:val="Normal"/>
    <w:rPr>
      <w:rFonts w:ascii="Times New Roman" w:hAnsi="Times New Roman" w:eastAsia="Times New Roman"/>
      <w:sz w:val="24"/>
    </w:rPr>
  </w:style>
  <w:style w:styleId="Caption" w:type="paragraph">
    <w:name w:val="Caption"/>
    <w:basedOn w:val="Normal"/>
    <w:link w:val="BodyTextChar"/>
    <w:pPr>
      <w:spacing w:after="120" w:before="0"/>
    </w:pPr>
    <w:rPr>
      <w:rFonts w:ascii="Times New Roman" w:hAnsi="Times New Roman" w:eastAsia="Times New Roman"/>
      <w:i/>
      <w:sz w:val="24"/>
    </w:rPr>
  </w:style>
  <w:style w:customStyle="1" w:styleId="TableCaption" w:type="paragraph">
    <w:name w:val="Table Caption"/>
    <w:basedOn w:val="Caption"/>
    <w:pPr>
      <w:keepNext/>
    </w:pPr>
    <w:rPr>
      <w:rFonts w:ascii="Times New Roman" w:hAnsi="Times New Roman" w:eastAsia="Times New Roman"/>
      <w:sz w:val="24"/>
    </w:rPr>
  </w:style>
  <w:style w:customStyle="1" w:styleId="ImageCaption" w:type="paragraph">
    <w:name w:val="Image Caption"/>
    <w:basedOn w:val="Caption"/>
    <w:rPr>
      <w:rFonts w:ascii="Times New Roman" w:hAnsi="Times New Roman" w:eastAsia="Times New Roman"/>
      <w:sz w:val="24"/>
    </w:rPr>
  </w:style>
  <w:style w:customStyle="1" w:styleId="Figure" w:type="paragraph">
    <w:name w:val="Figure"/>
    <w:basedOn w:val="Normal"/>
    <w:rPr>
      <w:rFonts w:ascii="Times New Roman" w:hAnsi="Times New Roman" w:eastAsia="Times New Roman"/>
      <w:sz w:val="24"/>
    </w:rPr>
  </w:style>
  <w:style w:customStyle="1" w:styleId="CaptionedFigure" w:type="paragraph">
    <w:name w:val="Captioned Figure"/>
    <w:basedOn w:val="Figure"/>
    <w:pPr>
      <w:keepNext/>
    </w:pPr>
    <w:rPr>
      <w:rFonts w:ascii="Times New Roman" w:hAnsi="Times New Roman" w:eastAsia="Times New Roman"/>
      <w:sz w:val="24"/>
    </w:rPr>
  </w:style>
  <w:style w:customStyle="1" w:styleId="BodyTextChar" w:type="character">
    <w:name w:val="Body Text Char"/>
    <w:basedOn w:val="DefaultParagraphFont"/>
    <w:link w:val="BodyText"/>
    <w:rPr>
      <w:rFonts w:ascii="Times New Roman" w:hAnsi="Times New Roman" w:eastAsia="Times New Roman"/>
      <w:sz w:val="24"/>
    </w:rPr>
  </w:style>
  <w:style w:customStyle="1" w:styleId="VerbatimChar" w:type="character">
    <w:name w:val="Verbatim Char"/>
    <w:basedOn w:val="BodyTextChar"/>
    <w:rPr>
      <w:rFonts w:ascii="Times New Roman" w:hAnsi="Times New Roman" w:eastAsia="Times New Roman"/>
      <w:sz w:val="24"/>
    </w:rPr>
  </w:style>
  <w:style w:customStyle="1" w:styleId="SectionNumber" w:type="character">
    <w:name w:val="Section Number"/>
    <w:basedOn w:val="BodyTextChar"/>
    <w:rPr>
      <w:rFonts w:ascii="Times New Roman" w:hAnsi="Times New Roman" w:eastAsia="Times New Roman"/>
      <w:sz w:val="24"/>
    </w:rPr>
  </w:style>
  <w:style w:styleId="FootnoteReference" w:type="character">
    <w:name w:val="Footnote Reference"/>
    <w:basedOn w:val="BodyTextChar"/>
    <w:rPr>
      <w:rFonts w:ascii="Times New Roman" w:hAnsi="Times New Roman" w:eastAsia="Times New Roman"/>
      <w:sz w:val="24"/>
      <w:vertAlign w:val="superscript"/>
    </w:rPr>
  </w:style>
  <w:style w:styleId="Hyperlink" w:type="character">
    <w:name w:val="Hyperlink"/>
    <w:basedOn w:val="BodyTextChar"/>
    <w:rPr>
      <w:rFonts w:ascii="Times New Roman" w:hAnsi="Times New Roman" w:eastAsia="Times New Roman"/>
      <w:sz w:val="24"/>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ascii="Times New Roman" w:hAnsi="Times New Roman" w:eastAsia="Times New Roman"/>
      <w:b w:val="0"/>
      <w:bCs w:val="0"/>
      <w:sz w:val="24"/>
    </w:rPr>
  </w:style>
  <w:style w:type="paragraph" w:customStyle="1" w:styleId="SourceCode">
    <w:name w:val="Source Code"/>
    <w:basedOn w:val="Normal"/>
    <w:link w:val="VerbatimChar"/>
    <w:pPr>
      <w:wordWrap w:val="off"/>
    </w:pPr>
    <w:rPr>
      <w:rFonts w:ascii="Times New Roman" w:hAnsi="Times New Roman" w:eastAsia="Times New Roman"/>
      <w:sz w:val="24"/>
    </w:rPr>
  </w:style>
  <w:style w:type="character" w:customStyle="1" w:styleId="KeywordTok">
    <w:name w:val="KeywordTok"/>
    <w:basedOn w:val="VerbatimChar"/>
    <w:rPr>
      <w:rFonts w:ascii="Times New Roman" w:hAnsi="Times New Roman" w:eastAsia="Times New Roman"/>
      <w:b/>
      <w:sz w:val="24"/>
    </w:rPr>
  </w:style>
  <w:style w:type="character" w:customStyle="1" w:styleId="DataTypeTok">
    <w:name w:val="DataTypeTok"/>
    <w:basedOn w:val="VerbatimChar"/>
    <w:rPr>
      <w:rFonts w:ascii="Times New Roman" w:hAnsi="Times New Roman" w:eastAsia="Times New Roman"/>
      <w:sz w:val="24"/>
    </w:rPr>
  </w:style>
  <w:style w:type="character" w:customStyle="1" w:styleId="DecValTok">
    <w:name w:val="DecValTok"/>
    <w:basedOn w:val="VerbatimChar"/>
    <w:rPr>
      <w:rFonts w:ascii="Times New Roman" w:hAnsi="Times New Roman" w:eastAsia="Times New Roman"/>
      <w:sz w:val="24"/>
    </w:rPr>
  </w:style>
  <w:style w:type="character" w:customStyle="1" w:styleId="BaseNTok">
    <w:name w:val="BaseNTok"/>
    <w:basedOn w:val="VerbatimChar"/>
    <w:rPr>
      <w:rFonts w:ascii="Times New Roman" w:hAnsi="Times New Roman" w:eastAsia="Times New Roman"/>
      <w:sz w:val="24"/>
    </w:rPr>
  </w:style>
  <w:style w:type="character" w:customStyle="1" w:styleId="FloatTok">
    <w:name w:val="FloatTok"/>
    <w:basedOn w:val="VerbatimChar"/>
    <w:rPr>
      <w:rFonts w:ascii="Times New Roman" w:hAnsi="Times New Roman" w:eastAsia="Times New Roman"/>
      <w:sz w:val="24"/>
    </w:rPr>
  </w:style>
  <w:style w:type="character" w:customStyle="1" w:styleId="ConstantTok">
    <w:name w:val="ConstantTok"/>
    <w:basedOn w:val="VerbatimChar"/>
    <w:rPr>
      <w:rFonts w:ascii="Times New Roman" w:hAnsi="Times New Roman" w:eastAsia="Times New Roman"/>
      <w:sz w:val="24"/>
    </w:rPr>
  </w:style>
  <w:style w:type="character" w:customStyle="1" w:styleId="CharTok">
    <w:name w:val="CharTok"/>
    <w:basedOn w:val="VerbatimChar"/>
    <w:rPr>
      <w:rFonts w:ascii="Times New Roman" w:hAnsi="Times New Roman" w:eastAsia="Times New Roman"/>
      <w:sz w:val="24"/>
    </w:rPr>
  </w:style>
  <w:style w:type="character" w:customStyle="1" w:styleId="SpecialCharTok">
    <w:name w:val="SpecialCharTok"/>
    <w:basedOn w:val="VerbatimChar"/>
    <w:rPr>
      <w:rFonts w:ascii="Times New Roman" w:hAnsi="Times New Roman" w:eastAsia="Times New Roman"/>
      <w:sz w:val="24"/>
    </w:rPr>
  </w:style>
  <w:style w:type="character" w:customStyle="1" w:styleId="StringTok">
    <w:name w:val="StringTok"/>
    <w:basedOn w:val="VerbatimChar"/>
    <w:rPr>
      <w:rFonts w:ascii="Times New Roman" w:hAnsi="Times New Roman" w:eastAsia="Times New Roman"/>
      <w:sz w:val="24"/>
    </w:rPr>
  </w:style>
  <w:style w:type="character" w:customStyle="1" w:styleId="VerbatimStringTok">
    <w:name w:val="VerbatimStringTok"/>
    <w:basedOn w:val="VerbatimChar"/>
    <w:rPr>
      <w:rFonts w:ascii="Times New Roman" w:hAnsi="Times New Roman" w:eastAsia="Times New Roman"/>
      <w:sz w:val="24"/>
    </w:rPr>
  </w:style>
  <w:style w:type="character" w:customStyle="1" w:styleId="SpecialStringTok">
    <w:name w:val="SpecialStringTok"/>
    <w:basedOn w:val="VerbatimChar"/>
    <w:rPr>
      <w:rFonts w:ascii="Times New Roman" w:hAnsi="Times New Roman" w:eastAsia="Times New Roman"/>
      <w:sz w:val="24"/>
    </w:rPr>
  </w:style>
  <w:style w:type="character" w:customStyle="1" w:styleId="ImportTok">
    <w:name w:val="ImportTok"/>
    <w:basedOn w:val="VerbatimChar"/>
    <w:rPr>
      <w:rFonts w:ascii="Times New Roman" w:hAnsi="Times New Roman" w:eastAsia="Times New Roman"/>
      <w:b/>
      <w:sz w:val="24"/>
    </w:rPr>
  </w:style>
  <w:style w:type="character" w:customStyle="1" w:styleId="CommentTok">
    <w:name w:val="CommentTok"/>
    <w:basedOn w:val="VerbatimChar"/>
    <w:rPr>
      <w:rFonts w:ascii="Times New Roman" w:hAnsi="Times New Roman" w:eastAsia="Times New Roman"/>
      <w:i/>
      <w:sz w:val="24"/>
    </w:rPr>
  </w:style>
  <w:style w:type="character" w:customStyle="1" w:styleId="DocumentationTok">
    <w:name w:val="DocumentationTok"/>
    <w:basedOn w:val="VerbatimChar"/>
    <w:rPr>
      <w:rFonts w:ascii="Times New Roman" w:hAnsi="Times New Roman" w:eastAsia="Times New Roman"/>
      <w:i/>
      <w:sz w:val="24"/>
    </w:rPr>
  </w:style>
  <w:style w:type="character" w:customStyle="1" w:styleId="AnnotationTok">
    <w:name w:val="AnnotationTok"/>
    <w:basedOn w:val="VerbatimChar"/>
    <w:rPr>
      <w:rFonts w:ascii="Times New Roman" w:hAnsi="Times New Roman" w:eastAsia="Times New Roman"/>
      <w:b/>
      <w:i/>
      <w:sz w:val="24"/>
    </w:rPr>
  </w:style>
  <w:style w:type="character" w:customStyle="1" w:styleId="CommentVarTok">
    <w:name w:val="CommentVarTok"/>
    <w:basedOn w:val="VerbatimChar"/>
    <w:rPr>
      <w:rFonts w:ascii="Times New Roman" w:hAnsi="Times New Roman" w:eastAsia="Times New Roman"/>
      <w:b/>
      <w:i/>
      <w:sz w:val="24"/>
    </w:rPr>
  </w:style>
  <w:style w:type="character" w:customStyle="1" w:styleId="OtherTok">
    <w:name w:val="OtherTok"/>
    <w:basedOn w:val="VerbatimChar"/>
    <w:rPr>
      <w:rFonts w:ascii="Times New Roman" w:hAnsi="Times New Roman" w:eastAsia="Times New Roman"/>
      <w:sz w:val="24"/>
    </w:rPr>
  </w:style>
  <w:style w:type="character" w:customStyle="1" w:styleId="FunctionTok">
    <w:name w:val="FunctionTok"/>
    <w:basedOn w:val="VerbatimChar"/>
    <w:rPr>
      <w:rFonts w:ascii="Times New Roman" w:hAnsi="Times New Roman" w:eastAsia="Times New Roman"/>
      <w:sz w:val="24"/>
    </w:rPr>
  </w:style>
  <w:style w:type="character" w:customStyle="1" w:styleId="VariableTok">
    <w:name w:val="VariableTok"/>
    <w:basedOn w:val="VerbatimChar"/>
    <w:rPr>
      <w:rFonts w:ascii="Times New Roman" w:hAnsi="Times New Roman" w:eastAsia="Times New Roman"/>
      <w:sz w:val="24"/>
    </w:rPr>
  </w:style>
  <w:style w:type="character" w:customStyle="1" w:styleId="ControlFlowTok">
    <w:name w:val="ControlFlowTok"/>
    <w:basedOn w:val="VerbatimChar"/>
    <w:rPr>
      <w:rFonts w:ascii="Times New Roman" w:hAnsi="Times New Roman" w:eastAsia="Times New Roman"/>
      <w:b/>
      <w:sz w:val="24"/>
    </w:rPr>
  </w:style>
  <w:style w:type="character" w:customStyle="1" w:styleId="OperatorTok">
    <w:name w:val="OperatorTok"/>
    <w:basedOn w:val="VerbatimChar"/>
    <w:rPr>
      <w:rFonts w:ascii="Times New Roman" w:hAnsi="Times New Roman" w:eastAsia="Times New Roman"/>
      <w:sz w:val="24"/>
    </w:rPr>
  </w:style>
  <w:style w:type="character" w:customStyle="1" w:styleId="BuiltInTok">
    <w:name w:val="BuiltInTok"/>
    <w:basedOn w:val="VerbatimChar"/>
    <w:rPr>
      <w:rFonts w:ascii="Times New Roman" w:hAnsi="Times New Roman" w:eastAsia="Times New Roman"/>
      <w:sz w:val="24"/>
    </w:rPr>
  </w:style>
  <w:style w:type="character" w:customStyle="1" w:styleId="ExtensionTok">
    <w:name w:val="ExtensionTok"/>
    <w:basedOn w:val="VerbatimChar"/>
    <w:rPr>
      <w:rFonts w:ascii="Times New Roman" w:hAnsi="Times New Roman" w:eastAsia="Times New Roman"/>
      <w:sz w:val="24"/>
    </w:rPr>
  </w:style>
  <w:style w:type="character" w:customStyle="1" w:styleId="PreprocessorTok">
    <w:name w:val="PreprocessorTok"/>
    <w:basedOn w:val="VerbatimChar"/>
    <w:rPr>
      <w:rFonts w:ascii="Times New Roman" w:hAnsi="Times New Roman" w:eastAsia="Times New Roman"/>
      <w:sz w:val="24"/>
    </w:rPr>
  </w:style>
  <w:style w:type="character" w:customStyle="1" w:styleId="AttributeTok">
    <w:name w:val="AttributeTok"/>
    <w:basedOn w:val="VerbatimChar"/>
    <w:rPr>
      <w:rFonts w:ascii="Times New Roman" w:hAnsi="Times New Roman" w:eastAsia="Times New Roman"/>
      <w:sz w:val="24"/>
    </w:rPr>
  </w:style>
  <w:style w:type="character" w:customStyle="1" w:styleId="RegionMarkerTok">
    <w:name w:val="RegionMarkerTok"/>
    <w:basedOn w:val="VerbatimChar"/>
    <w:rPr>
      <w:rFonts w:ascii="Times New Roman" w:hAnsi="Times New Roman" w:eastAsia="Times New Roman"/>
      <w:sz w:val="24"/>
    </w:rPr>
  </w:style>
  <w:style w:type="character" w:customStyle="1" w:styleId="InformationTok">
    <w:name w:val="InformationTok"/>
    <w:basedOn w:val="VerbatimChar"/>
    <w:rPr>
      <w:rFonts w:ascii="Times New Roman" w:hAnsi="Times New Roman" w:eastAsia="Times New Roman"/>
      <w:b/>
      <w:i/>
      <w:sz w:val="24"/>
    </w:rPr>
  </w:style>
  <w:style w:type="character" w:customStyle="1" w:styleId="WarningTok">
    <w:name w:val="WarningTok"/>
    <w:basedOn w:val="VerbatimChar"/>
    <w:rPr>
      <w:rFonts w:ascii="Times New Roman" w:hAnsi="Times New Roman" w:eastAsia="Times New Roman"/>
      <w:b/>
      <w:i/>
      <w:sz w:val="24"/>
    </w:rPr>
  </w:style>
  <w:style w:type="character" w:customStyle="1" w:styleId="AlertTok">
    <w:name w:val="AlertTok"/>
    <w:basedOn w:val="VerbatimChar"/>
    <w:rPr>
      <w:rFonts w:ascii="Times New Roman" w:hAnsi="Times New Roman" w:eastAsia="Times New Roman"/>
      <w:b/>
      <w:sz w:val="24"/>
    </w:rPr>
  </w:style>
  <w:style w:type="character" w:customStyle="1" w:styleId="ErrorTok">
    <w:name w:val="ErrorTok"/>
    <w:basedOn w:val="VerbatimChar"/>
    <w:rPr>
      <w:rFonts w:ascii="Times New Roman" w:hAnsi="Times New Roman" w:eastAsia="Times New Roman"/>
      <w:b/>
      <w:sz w:val="24"/>
    </w:rPr>
  </w:style>
  <w:style w:type="character" w:customStyle="1" w:styleId="NormalTok">
    <w:name w:val="NormalTok"/>
    <w:basedOn w:val="VerbatimChar"/>
    <w:rPr>
      <w:rFonts w:ascii="Times New Roman" w:hAnsi="Times New Roman" w:eastAsia="Times New Roman"/>
      <w:sz w:val="24"/>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9" Type="http://schemas.openxmlformats.org/officeDocument/2006/relationships/hyperlink" Target="https://cage.fazenda.rs.gov.br/upload/arquivos/202507/02143858-prestacao-de-contas-do-governador-2019-v-5-2.pdf" TargetMode="External"/><Relationship Id="rId15" Type="http://schemas.openxmlformats.org/officeDocument/2006/relationships/hyperlink" Target="https://comexstat.mdic.gov.br/" TargetMode="External"/><Relationship Id="rId13" Type="http://schemas.openxmlformats.org/officeDocument/2006/relationships/hyperlink" Target="https://dadosabertos.aneel.gov.br/dataset/593537c6-9e0e-4ed9-817a-2c5d5de05147/resource/a1328fc1-f06b-437d-8893-57ac2c8103df/download/resultado-leiloes-geracao.csv" TargetMode="External"/><Relationship Id="rId10" Type="http://schemas.openxmlformats.org/officeDocument/2006/relationships/hyperlink" Target="https://dadosabertos.aneel.gov.br/dataset/a9fb5b4b-59ca-4be8-9690-876d9547271d/resource/43386a8b-4781-44ec-a082-fa7fdfe33186/download/pautas-atas-reunioes-publicas-diretoria.csv" TargetMode="External"/><Relationship Id="rId27" Type="http://schemas.openxmlformats.org/officeDocument/2006/relationships/hyperlink" Target="https://ons-aws-prod-opendata.s3.amazonaws.com/dataset/geracao_usina_2_ho/GERACAO_USINA-2_2019.parquet" TargetMode="External"/><Relationship Id="rId9" Type="http://schemas.openxmlformats.org/officeDocument/2006/relationships/hyperlink" Target="https://pesquisa.in.gov.br/imprensa/servlet/INPDFViewer?jornal=1&amp;pagina=87&amp;data=28/06/2013&amp;captchafield=firstAccess" TargetMode="External"/><Relationship Id="rId28" Type="http://schemas.openxmlformats.org/officeDocument/2006/relationships/hyperlink" Target="https://seeg.eco.br/wp-content/uploads/2025/12/Dados-nacionais-13.0.xlsx" TargetMode="External"/><Relationship Id="rId23" Type="http://schemas.openxmlformats.org/officeDocument/2006/relationships/hyperlink" Target="https://sidra.ibge.gov.br/tabela/1737" TargetMode="External"/><Relationship Id="rId22" Type="http://schemas.openxmlformats.org/officeDocument/2006/relationships/hyperlink" Target="https://sidra.ibge.gov.br/tabela/6450" TargetMode="External"/><Relationship Id="rId16" Type="http://schemas.openxmlformats.org/officeDocument/2006/relationships/hyperlink" Target="https://www.canalenergia.com.br/noticias/53103542/aneel-define-receitas-anuais-permitidas-das-transmissoras-em-r-257-milhoes" TargetMode="External"/><Relationship Id="rId21" Type="http://schemas.openxmlformats.org/officeDocument/2006/relationships/hyperlink" Target="https://www.epe.gov.br/sites-pt/publicacoes-dados-abertos/publicacoes/PublicacoesArquivos/publicacao-479/topico-528/BEN2020_sp.pdf" TargetMode="External"/><Relationship Id="rId14" Type="http://schemas.openxmlformats.org/officeDocument/2006/relationships/hyperlink" Target="https://www.gov.br/mme/pt-br/assuntos/secretarias/petroleo-gas-natural-e-biocombustiveis/publicacoes-1/boletim-mensal-de-acompanhamento-da-industria-de-gas-natural/2019/12-boletim-mensal-de-acompanhamento-da-industria-de-gas-natural-dezembro-2019.pdf" TargetMode="External"/><Relationship Id="rId11" Type="http://schemas.openxmlformats.org/officeDocument/2006/relationships/hyperlink" Target="https://www.in.gov.br/web/dou/-/resolucao-homologatoria-n-2-509-de-18-de-dezembro-de-2018-56785419" TargetMode="External"/><Relationship Id="rId12" Type="http://schemas.openxmlformats.org/officeDocument/2006/relationships/hyperlink" Target="https://www.in.gov.br/web/dou/-/resolucao-homologatoria-n-2.565-de-25-de-junho-de-2019-179410784" TargetMode="External"/><Relationship Id="rId24" Type="http://schemas.openxmlformats.org/officeDocument/2006/relationships/hyperlink" Target="https://www.ons.org.br/AcervoDigitalDocumentosEPublicacoes/SEAMSE_201812.pdf" TargetMode="External"/><Relationship Id="rId25" Type="http://schemas.openxmlformats.org/officeDocument/2006/relationships/hyperlink" Target="https://www.ons.org.br/AcervoDigitalDocumentosEPublicacoes/SEAMSE_201906.pdf" TargetMode="External"/><Relationship Id="rId26" Type="http://schemas.openxmlformats.org/officeDocument/2006/relationships/hyperlink" Target="https://www.ons.org.br/AcervoDigitalDocumentosEPublicacoes/SEAMSE_201912.pdf" TargetMode="External"/><Relationship Id="rId18" Type="http://schemas.openxmlformats.org/officeDocument/2006/relationships/hyperlink" Target="https://www.rad.cvm.gov.br/ENETCONSULTA/frmDownloadDocumento.aspx?CodigoInstituicao=1&amp;NumeroSequencialDocumento=90958" TargetMode="External"/><Relationship Id="rId20" Type="http://schemas.openxmlformats.org/officeDocument/2006/relationships/hyperlink" Target="https://www.rad.cvm.gov.br/ENETCONSULTA/frmDownloadDocumento.aspx?CodigoInstituicao=1&amp;NumeroSequencialDocumento=91986" TargetMode="External"/><Relationship Id="rId17" Type="http://schemas.openxmlformats.org/officeDocument/2006/relationships/hyperlink" Target="https://www.rad.cvm.gov.br/ENETCONSULTA/frmDownloadDocumento.aspx?CodigoInstituicao=1&amp;NumeroSequencialDocumento=92390" TargetMode="External"/></Relationships>
</file>

<file path=word/_rels/footnotes.xml.rels><?xml version='1.0' encoding='UTF-8' standalone='yes'?>
<Relationships xmlns="http://schemas.openxmlformats.org/package/2006/relationships"><Relationship Id="rId19" Type="http://schemas.openxmlformats.org/officeDocument/2006/relationships/hyperlink" Target="https://cage.fazenda.rs.gov.br/upload/arquivos/202507/02143858-prestacao-de-contas-do-governador-2019-v-5-2.pdf" TargetMode="External"/><Relationship Id="rId15" Type="http://schemas.openxmlformats.org/officeDocument/2006/relationships/hyperlink" Target="https://comexstat.mdic.gov.br/" TargetMode="External"/><Relationship Id="rId13" Type="http://schemas.openxmlformats.org/officeDocument/2006/relationships/hyperlink" Target="https://dadosabertos.aneel.gov.br/dataset/593537c6-9e0e-4ed9-817a-2c5d5de05147/resource/a1328fc1-f06b-437d-8893-57ac2c8103df/download/resultado-leiloes-geracao.csv" TargetMode="External"/><Relationship Id="rId10" Type="http://schemas.openxmlformats.org/officeDocument/2006/relationships/hyperlink" Target="https://dadosabertos.aneel.gov.br/dataset/a9fb5b4b-59ca-4be8-9690-876d9547271d/resource/43386a8b-4781-44ec-a082-fa7fdfe33186/download/pautas-atas-reunioes-publicas-diretoria.csv" TargetMode="External"/><Relationship Id="rId27" Type="http://schemas.openxmlformats.org/officeDocument/2006/relationships/hyperlink" Target="https://ons-aws-prod-opendata.s3.amazonaws.com/dataset/geracao_usina_2_ho/GERACAO_USINA-2_2019.parquet" TargetMode="External"/><Relationship Id="rId9" Type="http://schemas.openxmlformats.org/officeDocument/2006/relationships/hyperlink" Target="https://pesquisa.in.gov.br/imprensa/servlet/INPDFViewer?jornal=1&amp;pagina=87&amp;data=28/06/2013&amp;captchafield=firstAccess" TargetMode="External"/><Relationship Id="rId28" Type="http://schemas.openxmlformats.org/officeDocument/2006/relationships/hyperlink" Target="https://seeg.eco.br/wp-content/uploads/2025/12/Dados-nacionais-13.0.xlsx" TargetMode="External"/><Relationship Id="rId23" Type="http://schemas.openxmlformats.org/officeDocument/2006/relationships/hyperlink" Target="https://sidra.ibge.gov.br/tabela/1737" TargetMode="External"/><Relationship Id="rId22" Type="http://schemas.openxmlformats.org/officeDocument/2006/relationships/hyperlink" Target="https://sidra.ibge.gov.br/tabela/6450" TargetMode="External"/><Relationship Id="rId16" Type="http://schemas.openxmlformats.org/officeDocument/2006/relationships/hyperlink" Target="https://www.canalenergia.com.br/noticias/53103542/aneel-define-receitas-anuais-permitidas-das-transmissoras-em-r-257-milhoes" TargetMode="External"/><Relationship Id="rId21" Type="http://schemas.openxmlformats.org/officeDocument/2006/relationships/hyperlink" Target="https://www.epe.gov.br/sites-pt/publicacoes-dados-abertos/publicacoes/PublicacoesArquivos/publicacao-479/topico-528/BEN2020_sp.pdf" TargetMode="External"/><Relationship Id="rId14" Type="http://schemas.openxmlformats.org/officeDocument/2006/relationships/hyperlink" Target="https://www.gov.br/mme/pt-br/assuntos/secretarias/petroleo-gas-natural-e-biocombustiveis/publicacoes-1/boletim-mensal-de-acompanhamento-da-industria-de-gas-natural/2019/12-boletim-mensal-de-acompanhamento-da-industria-de-gas-natural-dezembro-2019.pdf" TargetMode="External"/><Relationship Id="rId11" Type="http://schemas.openxmlformats.org/officeDocument/2006/relationships/hyperlink" Target="https://www.in.gov.br/web/dou/-/resolucao-homologatoria-n-2-509-de-18-de-dezembro-de-2018-56785419" TargetMode="External"/><Relationship Id="rId12" Type="http://schemas.openxmlformats.org/officeDocument/2006/relationships/hyperlink" Target="https://www.in.gov.br/web/dou/-/resolucao-homologatoria-n-2.565-de-25-de-junho-de-2019-179410784" TargetMode="External"/><Relationship Id="rId24" Type="http://schemas.openxmlformats.org/officeDocument/2006/relationships/hyperlink" Target="https://www.ons.org.br/AcervoDigitalDocumentosEPublicacoes/SEAMSE_201812.pdf" TargetMode="External"/><Relationship Id="rId25" Type="http://schemas.openxmlformats.org/officeDocument/2006/relationships/hyperlink" Target="https://www.ons.org.br/AcervoDigitalDocumentosEPublicacoes/SEAMSE_201906.pdf" TargetMode="External"/><Relationship Id="rId26" Type="http://schemas.openxmlformats.org/officeDocument/2006/relationships/hyperlink" Target="https://www.ons.org.br/AcervoDigitalDocumentosEPublicacoes/SEAMSE_201912.pdf" TargetMode="External"/><Relationship Id="rId18" Type="http://schemas.openxmlformats.org/officeDocument/2006/relationships/hyperlink" Target="https://www.rad.cvm.gov.br/ENETCONSULTA/frmDownloadDocumento.aspx?CodigoInstituicao=1&amp;NumeroSequencialDocumento=90958" TargetMode="External"/><Relationship Id="rId20" Type="http://schemas.openxmlformats.org/officeDocument/2006/relationships/hyperlink" Target="https://www.rad.cvm.gov.br/ENETCONSULTA/frmDownloadDocumento.aspx?CodigoInstituicao=1&amp;NumeroSequencialDocumento=91986" TargetMode="External"/><Relationship Id="rId17" Type="http://schemas.openxmlformats.org/officeDocument/2006/relationships/hyperlink" Target="https://www.rad.cvm.gov.br/ENETCONSULTA/frmDownloadDocumento.aspx?CodigoInstituicao=1&amp;NumeroSequencialDocumento=9239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2026-10-18T14:48:44Z</dcterms:created>
  <dcterms:modified xsi:type="dcterms:W3CDTF">2026-10-18T14:48:44Z</dcterms:modified>
</cp:coreProperties>
</file>

<file path=docProps/custom.xml><?xml version="1.0" encoding="utf-8"?>
<Properties xmlns="http://schemas.openxmlformats.org/officeDocument/2006/custom-properties" xmlns:vt="http://schemas.openxmlformats.org/officeDocument/2006/docPropsVTypes"/>
</file>