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#111</w:t>
      </w:r>
    </w:p>
    <w:p>
      <w:r>
        <w:t>**GOVERNO DA REPÚBLICA**</w:t>
        <w:br/>
        <w:br/>
        <w:t>**MINISTÉRIO DA JUSTIÇA**</w:t>
        <w:br/>
        <w:br/>
        <w:t>**DEPARTAMENTO DE LEGISLAÇÃO E NORMATIVA**</w:t>
        <w:br/>
        <w:br/>
        <w:t>**AVISO N.º 123/2023**</w:t>
        <w:br/>
        <w:br/>
        <w:t>**ASSUNTO:** Comunicação de decisão do Tribunal Constitucional – Declaração de inconstitucionalidade</w:t>
        <w:br/>
        <w:br/>
        <w:t>**DATA:** 15 de Outubro de 2023</w:t>
        <w:br/>
        <w:br/>
        <w:t>---</w:t>
        <w:br/>
        <w:br/>
        <w:t xml:space="preserve">**À**  </w:t>
        <w:br/>
        <w:t xml:space="preserve">**Excelentíssima Senhora Ministra da Justiça**  </w:t>
        <w:br/>
        <w:t xml:space="preserve">**Aos Excelentíssimos Senhores Diretores dos Serviços**  </w:t>
        <w:br/>
        <w:t xml:space="preserve">**Aos Excelentíssimos Senhores Presidentes dos Órgãos de Administração Pública**  </w:t>
        <w:br/>
        <w:t xml:space="preserve">**Aos Excelentíssimos Senhores Advogados do Estado**  </w:t>
        <w:br/>
        <w:br/>
        <w:t>---</w:t>
        <w:br/>
        <w:br/>
        <w:t>**INFORMAÇÃO:**</w:t>
        <w:br/>
        <w:br/>
        <w:t>No dia 10 de Outubro de 2023, o Tribunal Constitucional deliberou sobre a inconstitucionalidade da Lei n.º 45/2021, que estabelece o regime jurídico das redes de serviços de saúde. O acórdão, proferido no processo n.º 487/2023, foi publicado na página oficial do Tribunal Constitucional e resulta de uma ação direta de inconstitucionalidade interposta por um grupo de cidadãos, considerando que as disposições da referida lei violam os princípios da igualdade e da proporcionalidade consagrados na Constituição da República.</w:t>
        <w:br/>
        <w:br/>
        <w:t>A decisão, com força obrigatória geral, implica a revogação de todas as normas estabelecidas pela Lei n.º 45/2021, devendo os órgãos e entidades públicas que a aplicavam proceder à imediata suspensão dos efeitos da mesma.</w:t>
        <w:br/>
        <w:br/>
        <w:t>---</w:t>
        <w:br/>
        <w:br/>
        <w:t>**DESPACHO:**</w:t>
        <w:br/>
        <w:br/>
        <w:t>Considerando a gravidade da situação e a necessidade de garantir o cumprimento da ordem constitucional, determina-se que:</w:t>
        <w:br/>
        <w:br/>
        <w:t>1. Todos os órgãos da administração pública devem ser notificados da presente decisão, devendo, no prazo de 30 dias, apresentar os relatórios sobre as medidas adotadas para a adequação das suas práticas à nova realidade jurídica.</w:t>
        <w:br/>
        <w:br/>
        <w:t>2. As entidades afetadas deverão criar um plano de ação para a implementação das alterações necessárias, que deverá ser enviado ao Departamento de Legislação e Normativa até ao dia 30 de Novembro de 2023.</w:t>
        <w:br/>
        <w:br/>
        <w:t>3. A comunicação da decisão deverá ser amplamente divulgada junto da população, de forma a garantir que todos os cidadãos tenham conhecimento da revogação da Lei n.º 45/2021 e das suas implicações.</w:t>
        <w:br/>
        <w:br/>
        <w:t>4. O presente aviso deverá ser publicado em Diário da República e em meios de comunicação social de âmbito nacional, assegurando a transparência e o acesso à informação.</w:t>
        <w:br/>
        <w:br/>
        <w:t>---</w:t>
        <w:br/>
        <w:br/>
        <w:t>**Lido e aprovado,**</w:t>
        <w:br/>
        <w:br/>
        <w:t xml:space="preserve">**O Diretor do Departamento de Legislação e Normativa**  </w:t>
        <w:br/>
        <w:t xml:space="preserve">**[Assinatura]**  </w:t>
        <w:br/>
        <w:t xml:space="preserve">**[Nome do Diretor]**  </w:t>
        <w:br/>
        <w:t xml:space="preserve">**[Cargo]**  </w:t>
        <w:br/>
        <w:t>**[Data]**</w:t>
        <w:br/>
        <w:br/>
        <w:t>**ANEXO:** Cópia do Acórdão n.º 487/2023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