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#125</w:t>
      </w:r>
    </w:p>
    <w:p>
      <w:r>
        <w:t xml:space="preserve">**DE:** Tribunal da Relação de Lisboa  </w:t>
        <w:br/>
        <w:t xml:space="preserve">**ASSUNTO:** Pedido de Decisão de Uniformização de Jurisprudência  </w:t>
        <w:br/>
        <w:t xml:space="preserve">**DATA:** 15 de Outubro de 2023  </w:t>
        <w:br/>
        <w:br/>
        <w:t>---</w:t>
        <w:br/>
        <w:br/>
        <w:t>**INFORMAÇÃO**</w:t>
        <w:br/>
        <w:br/>
        <w:t>Nos termos da legislação em vigor e tendo em consideração os pedidos apresentados por diversas instâncias judiciais sobre a interpretação da norma constante do artigo 123.º do Código Civil, que versa sobre a nulidade dos atos jurídicos, foi desencadeado o processo de uniformização de jurisprudência.</w:t>
        <w:br/>
        <w:br/>
        <w:t>**PROCESSO**</w:t>
        <w:br/>
        <w:br/>
        <w:t xml:space="preserve">1. **Pedido de Orientação Jurisprudencial:**  </w:t>
        <w:br/>
        <w:t xml:space="preserve">   Nos dias 10 e 12 de Setembro de 2023, foram recebidos os pedidos de uniformização de jurisprudência na sequência de decisões contraditórias proferidas pelas Varas Cíveis das Comarcas de Lisboa e Porto, que abordam a questão da nulidade dos contratos celebrados com dolo. </w:t>
        <w:br/>
        <w:br/>
        <w:t xml:space="preserve">2. **Conferência para Admissibilidade:**  </w:t>
        <w:br/>
        <w:t xml:space="preserve">   Em audiência realizada no dia 5 de Outubro de 2023, foi conduzida a conferência para apreciação da admissibilidade dos pedidos apresentados. Estiveram presentes representantes das partes envolvidas e juristas designados para a análise do caso.</w:t>
        <w:br/>
        <w:br/>
        <w:t xml:space="preserve">3. **Alegações:**  </w:t>
        <w:br/>
        <w:t xml:space="preserve">   As partes alegaram, por um lado, que a nulidade deve ser declarada de forma automática na presença de dolo, conforme entendimento da Vara Cível de Lisboa, enquanto a Vara Cível do Porto sustentou que a nulidade deve ser analisada caso a caso, considerando os elementos subjetivos e objetivos do contrato.</w:t>
        <w:br/>
        <w:br/>
        <w:t xml:space="preserve">4. **Julgamento:**  </w:t>
        <w:br/>
        <w:t xml:space="preserve">   Após a análise das alegações, o Tribunal decidiu, por maioria, que a nulidade dos atos jurídicos dolosamente celebrados deve ser declarada com base na regra geral prevista no artigo 123.º do Código Civil, considerando que as situações de dolo configuram uma violação da boa-fé e da confiança legítima entre as partes.</w:t>
        <w:br/>
        <w:br/>
        <w:t xml:space="preserve">5. **Proferição do Acórdão:**  </w:t>
        <w:br/>
        <w:t xml:space="preserve">   O acórdão foi proferido em 12 de Outubro de 2023, resultando na unificação da interpretação sobre a nulidade dos atos jurídicos celebrados com dolo. </w:t>
        <w:br/>
        <w:br/>
        <w:t>**DESPACHO**</w:t>
        <w:br/>
        <w:br/>
        <w:t>Deste modo, determina-se a publicação do acórdão nos termos do disposto na legislação aplicável, promovendo a comunicação a todos os Tribunais do país, a fim de garantir a uniformidade da jurisprudência nesta matéria.</w:t>
        <w:br/>
        <w:br/>
        <w:t xml:space="preserve">**ASSINATURA**  </w:t>
        <w:br/>
        <w:t xml:space="preserve">[Nome do Juiz]  </w:t>
        <w:br/>
        <w:t xml:space="preserve">[Cargo]  </w:t>
        <w:br/>
        <w:t xml:space="preserve">Tribunal da Relação de Lisboa  </w:t>
        <w:br/>
        <w:br/>
        <w:t xml:space="preserve">--- </w:t>
        <w:br/>
        <w:br/>
        <w:t xml:space="preserve">**NOTAS FINAIS:**  </w:t>
        <w:br/>
        <w:t xml:space="preserve">A presente decisão não tem força vinculativa, mas serve como orientação para a uniformização da jurisprudência, contribuindo para a segurança jurídica e previsibilidade nas relações contratuais. </w:t>
        <w:br/>
        <w:br/>
        <w:t xml:space="preserve">**CÓDIGO DE CLASSIFICAÇÃO:** 100.20.600 – 600  </w:t>
        <w:br/>
        <w:t>**TERMO DE ÍNDICE:** Acórdão de uniformização de jurisprudência; Jurisprudência; Pedido de orientação jurisprudencial uniformizada; Alegação de uniformização de jurisprudência.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