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#145</w:t>
      </w:r>
    </w:p>
    <w:p>
      <w:r>
        <w:t xml:space="preserve">**[Cabeçalho da Instituição]**  </w:t>
        <w:br/>
        <w:t xml:space="preserve">**[Nome da Instituição]**  </w:t>
        <w:br/>
        <w:t xml:space="preserve">**[Endereço Completo]**  </w:t>
        <w:br/>
        <w:t xml:space="preserve">**[Telefone]**  </w:t>
        <w:br/>
        <w:t xml:space="preserve">**[E-mail]**  </w:t>
        <w:br/>
        <w:t xml:space="preserve">**[Website]**  </w:t>
        <w:br/>
        <w:br/>
        <w:t xml:space="preserve">**Processo n.º:** 2023/12345  </w:t>
        <w:br/>
        <w:t xml:space="preserve">**Data:** 25 de Outubro de 2023  </w:t>
        <w:br/>
        <w:br/>
        <w:t xml:space="preserve">**ASSUNTO:** Decisão de Uniformização de Jurisprudência  </w:t>
        <w:br/>
        <w:br/>
        <w:t xml:space="preserve">**INFORMAÇÃO:**  </w:t>
        <w:br/>
        <w:br/>
        <w:t>No âmbito do processo de uniformização de jurisprudência, foi recebido o pedido de orientação jurisprudencial uniformizada, conforme requerido por diversas instâncias judiciais que apresentaram soluções divergentes relativamente à questão da interpretação do artigo 123 do Código Civil, no que se refere à validade de cláusulas penais em contratos de adesão.</w:t>
        <w:br/>
        <w:br/>
        <w:t>Após a análise do pedido e das alegações apresentadas pelas partes envolvidas, foi realizada uma conferência para a admissibilidade do mesmo, que contou com a participação dos representantes das instâncias solicitantes e de peritos na matéria em questão. Durante a conferência, foram discutidos os fundamentos jurídicos que sustentam as posições divergentes, bem como a necessidade de se estabelecer uma orientação jurisprudencial que promova a segurança jurídica e a igualdade na aplicação da lei.</w:t>
        <w:br/>
        <w:br/>
        <w:t xml:space="preserve">**JULGAMENTO:**  </w:t>
        <w:br/>
        <w:br/>
        <w:t>Após a análise minuciosa dos argumentos e a ponderação das várias perspetivas apresentadas, o tribunal decidiu por unanimidade que, para efeitos de uniformização, devem ser consideradas válidas as cláusulas penais que estejam em conformidade com os princípios da boa-fé e da proporcionalidade, devendo, contudo, respectar os limites impostos pelo regime jurídico aplicável aos contratos de adesão.</w:t>
        <w:br/>
        <w:br/>
        <w:t xml:space="preserve">**PROFERIÇÃO DO ACÓRDÃO:**  </w:t>
        <w:br/>
        <w:br/>
        <w:t xml:space="preserve">Em conformidade com a decisão acima referida, foi proferido o seguinte acórdão:  </w:t>
        <w:br/>
        <w:br/>
        <w:t xml:space="preserve">*"Nos termos do exposto, e considerando a necessidade de uniformização da jurisprudência, determina-se que as cláusulas penais em contratos de adesão são válidas desde que observem os princípios da boa-fé e da proporcionalidade, independendo da forma que assumam, desde que respeitado o regime jurídico aplicável."*  </w:t>
        <w:br/>
        <w:br/>
        <w:t>Este acórdão será publicado em Diário da República e disponibilizado no portal da Justiça, de modo a garantir a ampla divulgação e a acessibilidade da orientação jurisprudencial estabelecida.</w:t>
        <w:br/>
        <w:br/>
        <w:t xml:space="preserve">**DESPACHO:**  </w:t>
        <w:br/>
        <w:br/>
        <w:t xml:space="preserve">Determina-se a notificação das partes interessadas e a publicação da presente decisão. Encaminhe-se cópia do acórdão para os órgãos jurisdicionais relevantes e para a consulta pública no portal institucional.  </w:t>
        <w:br/>
        <w:br/>
        <w:t xml:space="preserve">**[Nome do Responsável]**  </w:t>
        <w:br/>
        <w:t xml:space="preserve">**[Cargo]**  </w:t>
        <w:br/>
        <w:t xml:space="preserve">**[Assinatura]**  </w:t>
        <w:br/>
        <w:t xml:space="preserve">**[Data]**  </w:t>
        <w:br/>
        <w:br/>
        <w:t xml:space="preserve">**[Carimbo da Instituição]**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