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#162</w:t>
      </w:r>
    </w:p>
    <w:p>
      <w:r>
        <w:t xml:space="preserve">**GOVERNO DA REPÚBLICA**  </w:t>
        <w:br/>
        <w:t xml:space="preserve">**MINISTÉRIO DA JUSTIÇA**  </w:t>
        <w:br/>
        <w:t>**DIREÇÃO-GERAL DA LEGISLAÇÃO**</w:t>
        <w:br/>
        <w:br/>
        <w:t xml:space="preserve">**DE:** Direção-Geral da Legislação  </w:t>
        <w:br/>
        <w:t xml:space="preserve">**ASSUNTO:** Proposta de Alteração ao Código Penal  </w:t>
        <w:br/>
        <w:t xml:space="preserve">**DATA:** 20 de Outubro de 2023  </w:t>
        <w:br/>
        <w:br/>
        <w:t>---</w:t>
        <w:br/>
        <w:br/>
        <w:t>**INFORMAÇÃO:**</w:t>
        <w:br/>
        <w:br/>
        <w:t xml:space="preserve">No âmbito das competências atribuídas à Direção-Geral da Legislação, foi submetida uma proposta de alteração ao Código Penal, visando a atualização de dispositivos legais que regulamentam os crimes contra a vida e a integridade física. </w:t>
        <w:br/>
        <w:br/>
        <w:t>A proposta, elaborada em colaboração com o Grupo de Trabalho sobre Criminalidade Violenta, propõe as seguintes alterações:</w:t>
        <w:br/>
        <w:br/>
        <w:t>1. **Revisão do Artigo 121.º** – Homicídio Simples:</w:t>
        <w:br/>
        <w:t xml:space="preserve">   - A introdução de circunstâncias atenuantes em casos de homicídio resultante de violência doméstica, visando uma maior proteção às vítimas.</w:t>
        <w:br/>
        <w:br/>
        <w:t>2. **Acréscimo de um novo artigo** – Artigo 121.º-A:</w:t>
        <w:br/>
        <w:t xml:space="preserve">   - Definição e penalização do crime de “Homicídio por Descaso”, que visa punir ações que, embora não intencionais, resultem na morte de outrem devido à negligência extrema.</w:t>
        <w:br/>
        <w:br/>
        <w:t>3. **Alteração ao Artigo 132.º** – Lesão Corporal:</w:t>
        <w:br/>
        <w:t xml:space="preserve">   - Aumento das penas para casos de lesão corporal grave, quando perpetrada em contextos de violência de género.</w:t>
        <w:br/>
        <w:br/>
        <w:t>A proposta inclui ainda um estudo de impacto que analisa as implicações sociais e legais das alterações sugeridas, bem como um levantamento das melhores práticas internacionais.</w:t>
        <w:br/>
        <w:br/>
        <w:t>**DESPACHO:**</w:t>
        <w:br/>
        <w:br/>
        <w:t>Após análise da proposta, e considerando a relevância das alterações para a proteção dos cidadãos e o combate à criminalidade, determino que:</w:t>
        <w:br/>
        <w:br/>
        <w:t>1. A proposta deve ser submetida à apreciação da Comissão Parlamentar de Assuntos Constitucionais, Direitos, Liberdade e Garantias, para discussão em sede de audição pública.</w:t>
        <w:br/>
        <w:br/>
        <w:t>2. Solicita-se a elaboração de um parecer jurídico sobre a compatibilidade das alterações propostas com os princípios da Constituição da República Portuguesa.</w:t>
        <w:br/>
        <w:br/>
        <w:t>3. A Direção-Geral da Legislação deverá proceder à divulgação da proposta, bem como dos documentos de suporte, através do Portal da Justiça, garantindo a transparência e a participação cívica no processo legislativo.</w:t>
        <w:br/>
        <w:br/>
        <w:t>Por fim, a Direção-Geral deverá apresentar um relatório sobre a evolução deste processo no prazo de 90 dias.</w:t>
        <w:br/>
        <w:br/>
        <w:t>**Atenciosamente,**</w:t>
        <w:br/>
        <w:br/>
        <w:t xml:space="preserve">Assinatura Digital  </w:t>
        <w:br/>
        <w:t xml:space="preserve">**António Silva**  </w:t>
        <w:br/>
        <w:t xml:space="preserve">**Diretor-Geral da Legislação**  </w:t>
        <w:br/>
        <w:t xml:space="preserve">**Ministério da Justiça**  </w:t>
        <w:br/>
        <w:t>**Governo da República Portuguesa**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