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#165</w:t>
      </w:r>
    </w:p>
    <w:p>
      <w:r>
        <w:t xml:space="preserve">**GOVERNO DA REPÚBLICA**  </w:t>
        <w:br/>
        <w:t xml:space="preserve">**MINISTÉRIO DA INFRAESTRUTURA**  </w:t>
        <w:br/>
        <w:t xml:space="preserve">**DIREÇÃO-GERAL DE NORMATIVA TÉCNICA**  </w:t>
        <w:br/>
        <w:br/>
        <w:t xml:space="preserve">**DE:** Direção-Geral de Normativa Técnica  </w:t>
        <w:br/>
        <w:t xml:space="preserve">**ASSUNTO:** Elaboração da Norma Técnica para a Sinalização Rodoviária  </w:t>
        <w:br/>
        <w:t xml:space="preserve">**DATA:** 15 de outubro de 2023  </w:t>
        <w:br/>
        <w:br/>
        <w:t>---</w:t>
        <w:br/>
        <w:br/>
        <w:t>**INFORMAÇÃO**</w:t>
        <w:br/>
        <w:br/>
        <w:t>No contexto da melhoria contínua da segurança rodoviária e da harmonização das práticas de sinalização em território nacional, esta Direção-Geral informa que foi identificada a necessidade de elaboração de uma norma técnica específica para a sinalização rodoviária, com o objetivo de estabelecer critérios claros e uniformizados a serem seguidos por todos os órgãos responsáveis pela sinalização em estradas e vias públicas.</w:t>
        <w:br/>
        <w:br/>
        <w:t>A presente norma técnica visa:</w:t>
        <w:br/>
        <w:br/>
        <w:t>1. **Definir os tipos de sinalização:** A norma deve contemplar a sinalização vertical, horizontal e semafórica, especificando formatos, cores e dimensões.</w:t>
        <w:br/>
        <w:t>2. **Estabelecer critérios de visibilidade e legibilidade:** A norma deverá incluir diretrizes sobre a localização e altura das sinalizações, bem como a utilização de materiais refletivos para garantir a visibilidade durante a noite e em condições meteorológicas adversas.</w:t>
        <w:br/>
        <w:t>3. **Promover a acessibilidade:** A norma técnica deve assegurar que a sinalização rodoviária seja acessível a todos os utilizadores, incluindo pessoas com mobilidade reduzida e deficiências sensoriais.</w:t>
        <w:br/>
        <w:br/>
        <w:t>**PROCEDIMENTOS DE ELABORAÇÃO**</w:t>
        <w:br/>
        <w:br/>
        <w:t>1. **Consulta e Colaboração:** A elaboração da norma técnica será feita em colaboração com entidades reguladoras, especialistas em segurança rodoviária e representantes de associações de utentes. Uma consulta pública será realizada para recolher contributos da sociedade civil.</w:t>
        <w:br/>
        <w:t xml:space="preserve">   </w:t>
        <w:br/>
        <w:t>2. **Elaboração de Pareceres Técnicos:** Serão solicitados pareceres técnicos especializados que poderão enriquecer o conteúdo da norma, garantindo que todas as perspetivas são consideradas.</w:t>
        <w:br/>
        <w:br/>
        <w:t>3. **Redação e Tradução:** A redação da norma será efetuada com rigor técnico e, se necessário, será realizada a tradução para línguas relevantes, assegurando que a norma esteja acessível a um público mais amplo.</w:t>
        <w:br/>
        <w:br/>
        <w:t>4. **Publicação e Publicitação:** Após a finalização do documento normativo, o mesmo será enviado para publicação no Diário da República e disponibilizado no site oficial do Ministério da Infraestrutura.</w:t>
        <w:br/>
        <w:br/>
        <w:t>**DESPACHO**</w:t>
        <w:br/>
        <w:br/>
        <w:t>Face ao exposto, e considerando a relevância da norma técnica para a promoção da segurança rodoviária em Portugal, determino que:</w:t>
        <w:br/>
        <w:br/>
        <w:t>1. Se inicie o processo de elaboração da norma técnica para a sinalização rodoviária, seguindo os procedimentos acima descritos.</w:t>
        <w:br/>
        <w:t>2. Se nomeie uma comissão técnica composta por elementos da Direção-Geral de Normativa Técnica e representantes das entidades reguladoras para coordenar o processo.</w:t>
        <w:br/>
        <w:t>3. Se estabeleça um cronograma para a execução das etapas da elaboração da norma, a ser apresentado na próxima reunião do conselho.</w:t>
        <w:br/>
        <w:br/>
        <w:t xml:space="preserve">Lisboa, 15 de outubro de 2023  </w:t>
        <w:br/>
        <w:br/>
        <w:t xml:space="preserve">**O DIRETOR-GERAL**  </w:t>
        <w:br/>
        <w:t xml:space="preserve">[Assinatura Digital]  </w:t>
        <w:br/>
        <w:t xml:space="preserve">Dr. João Silva  </w:t>
        <w:br/>
        <w:t xml:space="preserve">Diretor-Geral de Normativa Técnica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