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#166</w:t>
      </w:r>
    </w:p>
    <w:p>
      <w:r>
        <w:t xml:space="preserve">**GOVERNO DA REPÚBLICA**  </w:t>
        <w:br/>
        <w:t xml:space="preserve">**MINISTÉRIO DA JUSTIÇA**  </w:t>
        <w:br/>
        <w:t xml:space="preserve">**DIRECÇÃO-GERAL DA ADMINISTRAÇÃO DA JUSTIÇA**  </w:t>
        <w:br/>
        <w:br/>
        <w:t xml:space="preserve">**DE:** Direcção-Geral da Administração da Justiça  </w:t>
        <w:br/>
        <w:t xml:space="preserve">**PARA:** Tribunal Constitucional  </w:t>
        <w:br/>
        <w:t xml:space="preserve">**ASSUNTO:** Comunicação de decisão de inconstitucionalidade  </w:t>
        <w:br/>
        <w:t xml:space="preserve">**DATA:** 15 de outubro de 2023  </w:t>
        <w:br/>
        <w:br/>
        <w:t xml:space="preserve">**INFORMAÇÃO:**  </w:t>
        <w:br/>
        <w:br/>
        <w:t xml:space="preserve">No âmbito do processo nº 1234/2023, o Tribunal Constitucional, no uso das suas competências estabelecidas pela Constituição da República e pela Lei n.º 28/2004, de 15 de julho, procedeu à análise da norma constante na Lei n.º 45/2022, de 23 de agosto, que estabelece o regime jurídico da organização e funcionamento de entidades públicas. </w:t>
        <w:br/>
        <w:br/>
        <w:t>Após deliberação em sessão plenária realizada em 10 de outubro de 2023, foi proferido o Acórdão nº 567/2023, que declarou a inconstitucionalidade da referida norma, considerando que esta contraria os princípios fundamentais consagrados na Constituição, nomeadamente o princípio da igualdade e o direito à boa administração.</w:t>
        <w:br/>
        <w:br/>
        <w:t xml:space="preserve">**DESPACHO:**  </w:t>
        <w:br/>
        <w:br/>
        <w:t>Atendendo ao exposto, cumpre-nos comunicar a decisão do Tribunal Constitucional aos órgãos competentes, conforme determina a legislação em vigor. Assim, determina-se:</w:t>
        <w:br/>
        <w:br/>
        <w:t>1. O envio do presente ofício à Assembleia da República, ao Governo, bem como às entidades diretamente afetadas pela norma ora considerada inconstitucional, para que sejam tomadas as devidas providências no sentido de revogação ou alteração da norma em questão.</w:t>
        <w:br/>
        <w:t xml:space="preserve">   </w:t>
        <w:br/>
        <w:t>2. A publicação do Acórdão nº 567/2023 no Diário da República, de forma a assegurar a publicidade e a transparência da decisão, garantindo que todos os cidadãos e entidades públicas tenham conhecimento da inconstitucionalidade declarada.</w:t>
        <w:br/>
        <w:br/>
        <w:t>3. A comunicação da presente decisão aos serviços de informação e documentação do Ministério da Justiça para arquivo e consulta futura, conforme as normas de gestão documental estabelecidas.</w:t>
        <w:br/>
        <w:br/>
        <w:t>4. A presente comunicação deverá ser efetuada no prazo de 5 (cinco) dias úteis, contados a partir da data da assinatura deste despacho.</w:t>
        <w:br/>
        <w:br/>
        <w:t xml:space="preserve">Pela Direcção-Geral da Administração da Justiça,  </w:t>
        <w:br/>
        <w:t xml:space="preserve">[Assinatura]  </w:t>
        <w:br/>
        <w:t xml:space="preserve">[Nome do Responsável]  </w:t>
        <w:br/>
        <w:t xml:space="preserve">[Cargo]  </w:t>
        <w:br/>
        <w:t xml:space="preserve">[Contactos]  </w:t>
        <w:br/>
        <w:br/>
        <w:t xml:space="preserve">---  </w:t>
        <w:br/>
        <w:t>**Nota:** Este documento destina-se exclusivamente à comunicação de decisões com força obrigatória geral, de acordo com as disposições legais aplicáveis.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