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#232</w:t>
      </w:r>
    </w:p>
    <w:p>
      <w:r>
        <w:t xml:space="preserve">**DE:** Tribunal da Relação de Lisboa  </w:t>
        <w:br/>
        <w:t xml:space="preserve">**ASSUNTO:** Pedido de Uniformização de Jurisprudência  </w:t>
        <w:br/>
        <w:t xml:space="preserve">**DATA:** 15 de março de 2023  </w:t>
        <w:br/>
        <w:br/>
        <w:t>---</w:t>
        <w:br/>
        <w:br/>
        <w:t>**INFORMAÇÃO:**</w:t>
        <w:br/>
        <w:br/>
        <w:t>No âmbito do processo n.º 1234/2022, foi apresentado um pedido de uniformização de jurisprudência, tendo em vista a clarificação de uma questão de direito que suscita divergências na interpretação e aplicação da legislação vigente.</w:t>
        <w:br/>
        <w:br/>
        <w:t>O pedido foi subscrito por diversas entidades, incluindo advogados e associações de juristas, que alegam a necessidade de uma orientação jurisprudencial uniforme em relação à aplicação do artigo 45.º do Código Civil, que versa sobre o regime da responsabilidade civil por danos causados a terceiros.</w:t>
        <w:br/>
        <w:br/>
        <w:t>Após a recepção do pedido, realizou-se uma conferência para a análise da admissibilidade, na qual esteve presente um painel de juízes do tribunal. Durante a conferência, foram ouvidas as alegações das partes interessadas, as quais apresentaram argumentos sólidos sobre a importância de uma decisão que harmonize a interpretação do dispositivo legal em questão.</w:t>
        <w:br/>
        <w:br/>
        <w:t>**JULGAMENTO:**</w:t>
        <w:br/>
        <w:br/>
        <w:t>Após a avaliação das alegações e dos fundamentos apresentados, o tribunal decidiu dar seguimento ao pedido de uniformização de jurisprudência, considerando que as divergências existentes nas decisões proferidas por diferentes instâncias judiciais podem comprometer a segurança jurídica e a igualdade de tratamento dos cidadãos.</w:t>
        <w:br/>
        <w:br/>
        <w:t>**PROFERIÇÃO DO ACÓRDÃO:**</w:t>
        <w:br/>
        <w:br/>
        <w:t>Em sessão de julgamento realizada no dia 10 de março de 2023, o Tribunal da Relação de Lisboa deliberou, por unanimidade, o seguinte:</w:t>
        <w:br/>
        <w:br/>
        <w:t>1. Reconhece a existência de divergências relevantes na interpretação do artigo 45.º do Código Civil, traduzindo-se em decisões contraditórias nos tribunais de primeira instância.</w:t>
        <w:br/>
        <w:t>2. Define que, para efeitos de responsabilidade civil, a análise da culpa não deve ser dissociada da conduta do agente e das circunstâncias do caso concreto, estabelecendo uma linha orientadora para futuras decisões.</w:t>
        <w:br/>
        <w:br/>
        <w:t>O acórdão será publicado no Diário da Justiça e será disponibilizado no portal do tribunal, com o intuito de assegurar o acesso à informação e promover a transparência no funcionamento da Justiça.</w:t>
        <w:br/>
        <w:br/>
        <w:t>**DESPACHO:**</w:t>
        <w:br/>
        <w:br/>
        <w:t>Determino que se proceda à comunicação do presente acórdão aos tribunais inferiores, bem como às partes interessadas, para que tomem conhecimento da uniformização da jurisprudência sobre a matéria.</w:t>
        <w:br/>
        <w:br/>
        <w:t xml:space="preserve">Lisboa, 15 de março de 2023  </w:t>
        <w:br/>
        <w:br/>
        <w:t xml:space="preserve">**ASSINATURA:**  </w:t>
        <w:br/>
        <w:t xml:space="preserve">Dr. João Silva  </w:t>
        <w:br/>
        <w:t xml:space="preserve">Presidente do Tribunal da Relação de Lisboa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