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#266</w:t>
      </w:r>
    </w:p>
    <w:p>
      <w:r>
        <w:t xml:space="preserve">**TRIBUNAL DA RELAÇÃO DE LISBOA**  </w:t>
        <w:br/>
        <w:t xml:space="preserve">**DEPARTAMENTO DE JURISPRUDÊNCIA**  </w:t>
        <w:br/>
        <w:t xml:space="preserve">**N.º 254/2023**  </w:t>
        <w:br/>
        <w:br/>
        <w:t xml:space="preserve">**ASSUNTO:** Pedido de orientação jurisprudencial uniformizada  </w:t>
        <w:br/>
        <w:br/>
        <w:t xml:space="preserve">**DATA:** 15 de Outubro de 2023  </w:t>
        <w:br/>
        <w:br/>
        <w:t xml:space="preserve">**INFORMAÇÃO:**  </w:t>
        <w:br/>
        <w:br/>
        <w:t>Nos termos do artigo 22.º da Lei n.º 3/99, de 13 de Janeiro, e em conformidade com a prática estabelecida, foi recebido o pedido de uniformização de jurisprudência, apresentado por um conjunto de juízes do Tribunal Judicial da Comarca de Lisboa, relativamente à questão da aplicabilidade do regime de responsabilidade civil por danos não patrimoniais em casos de erro médico.</w:t>
        <w:br/>
        <w:br/>
        <w:t xml:space="preserve">O pedido foi motivado pela divergência de decisões proferidas por diferentes secções deste tribunal, que resultaram em soluções contraditórias em casos de natureza semelhante. </w:t>
        <w:br/>
        <w:br/>
        <w:t xml:space="preserve">**DESPACHO:**  </w:t>
        <w:br/>
        <w:br/>
        <w:t xml:space="preserve">1. **Admissibilidade do Pedido:**  </w:t>
        <w:br/>
        <w:t>Após análise preliminar, verifica-se que o pedido é admissível, uma vez que se fundamenta em situações que geraram decisões opostas nos tribunais de primeira instância, conforme indicado nos processos n.º 123/2022 e n.º 456/2022.</w:t>
        <w:br/>
        <w:br/>
        <w:t xml:space="preserve">2. **Alegações:**  </w:t>
        <w:br/>
        <w:t>Determina-se a notificação dos juízes responsáveis pelas decisões em questão, bem como dos interessados, para que apresentem as suas alegações no prazo de 15 dias a contar da data da notificação. As alegações deverão versar sobre os fundamentos jurídicos das decisões proferidas, bem como sobre a necessidade e a pertinência da uniformização da jurisprudência nesta matéria.</w:t>
        <w:br/>
        <w:br/>
        <w:t xml:space="preserve">3. **Julgmento:**  </w:t>
        <w:br/>
        <w:t>Após a receção das alegações, será agendada uma conferência de julgamento, onde as partes poderão expor as suas posições perante o coletivo de juízes designados para o efeito. A conferência será realizada na data a definir e comunicada a todos os intervenientes.</w:t>
        <w:br/>
        <w:br/>
        <w:t xml:space="preserve">4. **Proferição do Acórdão:**  </w:t>
        <w:br/>
        <w:t>O acórdão resultante da presente deliberação será publicado no Diário da Justiça e disponibilizado na plataforma eletrónica do Tribunal da Relação de Lisboa, no prazo de 30 dias após a conferência de julgamento.</w:t>
        <w:br/>
        <w:br/>
        <w:t xml:space="preserve">5. **Publicação:**  </w:t>
        <w:br/>
        <w:t>A presente decisão deverá ser comunicada aos interessados e publicada nos meios oficiais, garantindo a devida transparência e acesso à informação sobre as orientações jurisprudenciais uniformizadas.</w:t>
        <w:br/>
        <w:br/>
        <w:t>Lisboa, 15 de Outubro de 2023</w:t>
        <w:br/>
        <w:br/>
        <w:t xml:space="preserve">**O Juiz Relator,**  </w:t>
        <w:br/>
        <w:t xml:space="preserve">Dr. João Almeida  </w:t>
        <w:br/>
        <w:t xml:space="preserve">**TRIBUNAL DA RELAÇÃO DE LISBOA**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