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#301</w:t>
      </w:r>
    </w:p>
    <w:p>
      <w:r>
        <w:t>**[LOGO DA INSTITUIÇÃO]**</w:t>
        <w:br/>
        <w:br/>
        <w:t xml:space="preserve">**DE:** Tribunal de Justiça do Distrito de Lisboa  </w:t>
        <w:br/>
        <w:t xml:space="preserve">**ASSUNTO:** Decisão de Uniformização de Jurisprudência  </w:t>
        <w:br/>
        <w:t xml:space="preserve">**DATA:** 15 de Outubro de 2023  </w:t>
        <w:br/>
        <w:br/>
        <w:t>---</w:t>
        <w:br/>
        <w:br/>
        <w:t xml:space="preserve">**À**  </w:t>
        <w:br/>
        <w:t xml:space="preserve">Secção de Jurisprudência  </w:t>
        <w:br/>
        <w:t xml:space="preserve">Tribunal de Justiça do Distrito de Lisboa  </w:t>
        <w:br/>
        <w:t xml:space="preserve">Av. da Liberdade, nº 123  </w:t>
        <w:br/>
        <w:t xml:space="preserve">1250-001 Lisboa  </w:t>
        <w:br/>
        <w:br/>
        <w:t xml:space="preserve">**INFORMAÇÃO:**  </w:t>
        <w:br/>
        <w:br/>
        <w:t>No seguimento do pedido de uniformização de jurisprudência apresentado por diversas instâncias judiciais, relativo à aplicação da norma constante do artigo 123 do Código Civil, que versa sobre o regime da responsabilidade civil, foram analisadas as diferentes interpretações que têm sido proferidas sobre a matéria.</w:t>
        <w:br/>
        <w:br/>
        <w:t xml:space="preserve">**1. CONTEXTO:**  </w:t>
        <w:br/>
        <w:t>Foram verificados julgamentos divergentes acerca da questão da "culpa concorrente" em casos de acidentes de viação, com decisões que, em alguns casos, atribuíam a totalidade da responsabilidade ao condutor do veículo, enquanto em outros se admitia a partilha da culpa entre as partes envolvidas.</w:t>
        <w:br/>
        <w:br/>
        <w:t xml:space="preserve">**2. PEDIDO DE ORIENTAÇÃO:**  </w:t>
        <w:br/>
        <w:t>Em data de 5 de Setembro de 2023, o Juízo de Instrução Criminal do Tribunal da Comarca de Lisboa solicitou a esta Secção que se pronunciasse sobre a necessidade de uniformização da jurisprudência em relação à questão referida, com o objetivo de assegurar uma aplicação coerente da norma em casos semelhantes.</w:t>
        <w:br/>
        <w:br/>
        <w:t xml:space="preserve">**3. ALEGACÕES:**  </w:t>
        <w:br/>
        <w:t xml:space="preserve">Após a recepção do pedido, foram solicitadas as alegações das partes interessadas, bem como das instâncias que proferiram decisões divergentes. Destacam-se as seguintes posições:  </w:t>
        <w:br/>
        <w:t xml:space="preserve">- O Tribunal da Relação de Lisboa defendeu a tese da partilha de responsabilidade, invocando a necessidade de considerar os comportamentos de ambas as partes.  </w:t>
        <w:br/>
        <w:t>- Por outro lado, o Tribunal de Almada sustentou a posição de que a culpa deve ser atribuída unicamente ao condutor que desrespeitou as regras de trânsito.</w:t>
        <w:br/>
        <w:br/>
        <w:t xml:space="preserve">**4. JULGAMENTO:**  </w:t>
        <w:br/>
        <w:t>Realizada a conferência para admissibilidade do pedido no dia 10 de Outubro de 2023, deliberou-se pela aceitação do mesmo, considerando a relevância da questão para a uniformização da jurisprudência e a necessidade de se evitar decisões contraditórias.</w:t>
        <w:br/>
        <w:br/>
        <w:t xml:space="preserve">**5. DECISÃO:**  </w:t>
        <w:br/>
        <w:t>Após análise das alegações e das jurisprudências apresentadas, concluiu-se que, em casos de responsabilidade civil resultante de acidentes de viação, deve ser aplicada a regra da culpa concorrente, sendo a responsabilidade atribuída proporcionalmente às condutas das partes envolvidas, conforme previsto na legislação vigente.</w:t>
        <w:br/>
        <w:br/>
        <w:t xml:space="preserve">**6. PUBLICAÇÃO:**  </w:t>
        <w:br/>
        <w:t>A presente decisão será publicada no Diário da Justiça e divulgada nos meios oficiais do Tribunal, a fim de que sirva de orientação para os juízes e advogados que atuam na matéria.</w:t>
        <w:br/>
        <w:br/>
        <w:t xml:space="preserve">**DESPACHO:**  </w:t>
        <w:br/>
        <w:t>Notifique-se o requerente e as partes interessadas. Registe-se e arquive-se para efeitos de consulta futura.</w:t>
        <w:br/>
        <w:br/>
        <w:t xml:space="preserve">Lisboa, 15 de Outubro de 2023  </w:t>
        <w:br/>
        <w:br/>
        <w:t xml:space="preserve">**[ASSINATURA]**  </w:t>
        <w:br/>
        <w:t xml:space="preserve">Dr. João Silva  </w:t>
        <w:br/>
        <w:t xml:space="preserve">Presidente da Secção de Jurisprudência  </w:t>
        <w:br/>
        <w:t>Tribunal de Justiça do Distrito de Lisboa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