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#308</w:t>
      </w:r>
    </w:p>
    <w:p>
      <w:r>
        <w:t xml:space="preserve">**GOVERNO DA REPÚBLICA**  </w:t>
        <w:br/>
        <w:t xml:space="preserve">**MINISTÉRIO DA JUSTIÇA**  </w:t>
        <w:br/>
        <w:t xml:space="preserve">**DIREÇÃO-GERAL DOS ASSUNTOS JURÍDICOS**  </w:t>
        <w:br/>
        <w:br/>
        <w:t xml:space="preserve">**DE**: Direção-Geral dos Assuntos Jurídicos  </w:t>
        <w:br/>
        <w:t xml:space="preserve">**ASSUNTO**: Comunicação de Decisão do Tribunal Constitucional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seguimento do Acórdão nº 123/2023, proferido pelo Tribunal Constitucional em 10 de Outubro de 2023, que declara a inconstitucionalidade da norma regulamentar nº 45/2022, publicada no Diário da República, II Série, nº 58, de 12 de Março de 2022, informamos que a referida decisão possui força obrigatória geral e deve ser observada por todos os órgãos da Administração Pública, serviços e entidades sob a sua jurisdição.</w:t>
        <w:br/>
        <w:br/>
        <w:t>A declaração de inconstitucionalidade resulta da análise efetuada pelo Tribunal Constitucional, que concluiu pela violação do princípio da igualdade consagrado no artigo 13º da Constituição da República Portuguesa. A norma em questão estabelecia critérios discriminatórios na atribuição de subsídios a instituições de ensino superior, o que contraria os direitos fundamentais dos cidadãos.</w:t>
        <w:br/>
        <w:br/>
        <w:t>Em virtude desta decisão, determina-se o seguinte:</w:t>
        <w:br/>
        <w:br/>
        <w:t>1. **Notificação**: Todos os órgãos e serviços da Administração Pública devem ser notificados da presente deliberação, sendo que a comunicação deverá ser realizada no prazo máximo de cinco dias úteis a contar da data de receção deste documento.</w:t>
        <w:br/>
        <w:br/>
        <w:t>2. **Publicação**: A decisão será publicada no Diário da República, de acordo com o estipulado no artigo 5º da Lei 28/2004, de 22 de Julho, que regula a publicação das decisões do Tribunal Constitucional.</w:t>
        <w:br/>
        <w:br/>
        <w:t>3. **Cumprimento**: Todos os serviços e entidades que venham a aplicar a norma anteriormente mencionada deverão, no prazo de 30 dias, proceder à sua revogação e à regularização das situações que dela possam ter resultado.</w:t>
        <w:br/>
        <w:br/>
        <w:t xml:space="preserve">**DESPACHO**  </w:t>
        <w:br/>
        <w:br/>
        <w:t>Nos termos do disposto, determina-se:</w:t>
        <w:br/>
        <w:br/>
        <w:t>- A imediata comunicação desta decisão aos Ministros da Educação e das Finanças, bem como à Comissão Nacional de Acompanhamento da Igualdade de Género, a fim de que tomem as medidas necessárias para a adequação das suas políticas e regulamentos à nova realidade jurídica.</w:t>
        <w:br/>
        <w:br/>
        <w:t>- A elaboração de um relatório final sobre a implementação das medidas de adequação, a ser apresentado na próxima reunião do Conselho de Ministros.</w:t>
        <w:br/>
        <w:br/>
        <w:t>O presente documento é emitido em cumprimento das atribuições que me são conferidas, e para os devidos efeitos, conforme o interesse público e a defesa dos direitos fundamentais consagrados na Constituição.</w:t>
        <w:br/>
        <w:br/>
        <w:t>Com os melhores cumprimentos,</w:t>
        <w:br/>
        <w:br/>
        <w:t xml:space="preserve">**[Nome do Responsável]**  </w:t>
        <w:br/>
        <w:t xml:space="preserve">**[Cargo do Responsável]**  </w:t>
        <w:br/>
        <w:t xml:space="preserve">**Direção-Geral dos Assuntos Jurídicos**  </w:t>
        <w:br/>
        <w:t xml:space="preserve">**Ministério da Justiça**  </w:t>
        <w:br/>
        <w:t xml:space="preserve">**Assinatura**  </w:t>
        <w:br/>
        <w:br/>
        <w:t>---</w:t>
        <w:br/>
        <w:br/>
        <w:t>**ANEXO**: Cópia do Acórdão nº 123/2023 do Tribunal Constitucional.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