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#320</w:t>
      </w:r>
    </w:p>
    <w:p>
      <w:r>
        <w:t xml:space="preserve">**Ministério da Administração Pública**  </w:t>
        <w:br/>
        <w:t xml:space="preserve">**Direção-Geral de Normas e Regulamentações**  </w:t>
        <w:br/>
        <w:t xml:space="preserve">**Departamento de Normas Técnicas**  </w:t>
        <w:br/>
        <w:br/>
        <w:t xml:space="preserve">**DE:** Direção-Geral de Normas e Regulamentações  </w:t>
        <w:br/>
        <w:t xml:space="preserve">**ASSUNTO:** Emissão de orientação sobre a interpretação da norma técnica N.º 123/2023  </w:t>
        <w:br/>
        <w:t xml:space="preserve">**DATA:** 15 de Outubro de 2023  </w:t>
        <w:br/>
        <w:br/>
        <w:t xml:space="preserve">**INFORMAÇÃO:**  </w:t>
        <w:br/>
        <w:br/>
        <w:t>No âmbito das atribuições desta Direção-Geral e em resposta à solicitação recebida no dia 10 de Outubro de 2023, referente à interpretação da norma técnica N.º 123/2023, a qual visa regulamentar os procedimentos de segurança no trabalho em setores industriais, elaborou-se a presente orientação.</w:t>
        <w:br/>
        <w:br/>
        <w:t>A solicitação foi originada por diversas entidades empregadoras do setor industrial, que manifestaram dúvidas sobre a aplicação dos critérios de segurança e os protocolos estabelecidos na referida norma. Após análise detalhada e consulta aos elementos que fundamentam a norma, foi possível delinear as seguintes orientações:</w:t>
        <w:br/>
        <w:br/>
        <w:t>1. **Âmbito de Aplicação:** A norma N.º 123/2023 aplica-se a todas as empresas do setor industrial que operem com maquinários pesados e substâncias químicas, devendo estas cumprir com os requisitos de segurança estabelecidos.</w:t>
        <w:br/>
        <w:br/>
        <w:t>2. **Responsabilidades do Empregador:** O empregador deve garantir a realização de avaliações de risco periódicas, a formação contínua dos trabalhadores em práticas de segurança e a disponibilização de Equipamentos de Proteção Individual (EPIs) adequados.</w:t>
        <w:br/>
        <w:br/>
        <w:t>3. **Procedimentos de Emergência:** A norma estabelece a obrigatoriedade de elaboração de um plano de emergência que deve ser divulgado a todos os colaboradores, com simulações regulares para testar a eficácia do plano.</w:t>
        <w:br/>
        <w:br/>
        <w:t>4. **Fiscalização e Penalizações:** A fiscalização do cumprimento da norma ficará a cargo da Autoridade de Segurança do Trabalho, que poderá aplicar penalizações em caso de descumprimento.</w:t>
        <w:br/>
        <w:br/>
        <w:t xml:space="preserve">**DESPACHO:**  </w:t>
        <w:br/>
        <w:br/>
        <w:t>Face ao exposto, determina-se a comunicação desta orientação a todas as entidades solicitantes, bem como a divulgação nos canais oficiais do Ministério da Administração Pública, a fim de assegurar que as diretrizes sejam amplamente conhecidas e implementadas.</w:t>
        <w:br/>
        <w:br/>
        <w:t>Esta orientação entra em vigor a partir da data da sua publicação e deverá ser revista anualmente para assegurar a sua adequação às novas realidades do setor.</w:t>
        <w:br/>
        <w:br/>
        <w:t>Atenciosamente,</w:t>
        <w:br/>
        <w:br/>
        <w:t xml:space="preserve">**[Nome do Responsável]**  </w:t>
        <w:br/>
        <w:t xml:space="preserve">**Diretor-Geral**  </w:t>
        <w:br/>
        <w:t xml:space="preserve">**Direção-Geral de Normas e Regulamentações**  </w:t>
        <w:br/>
        <w:t xml:space="preserve">**Ministério da Administração Pública**  </w:t>
        <w:br/>
        <w:t xml:space="preserve">**(Assinatura Digital)**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