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#345</w:t>
      </w:r>
    </w:p>
    <w:p>
      <w:r>
        <w:t xml:space="preserve">**GABINETE DO SECRETÁRIO DE ESTADO DA JUSTIÇA**  </w:t>
        <w:br/>
        <w:t xml:space="preserve">**DE**: Secretaria de Estado da Justiça  </w:t>
        <w:br/>
        <w:t xml:space="preserve">**ASSUNTO**: Comunicação de Decisão do Tribunal Constitucional  </w:t>
        <w:br/>
        <w:t xml:space="preserve">**DATA**: 15 de Outubro de 2023  </w:t>
        <w:br/>
        <w:br/>
        <w:t>---</w:t>
        <w:br/>
        <w:br/>
        <w:t xml:space="preserve">**INFORMAÇÃO**  </w:t>
        <w:br/>
        <w:br/>
        <w:t>Nos termos da legislação em vigor e em cumprimento do disposto no Acórdão n.º 123/2023, proferido pelo Tribunal Constitucional em 10 de Outubro de 2023, informamos que foi declarada a inconstitucionalidade da norma constante do artigo 5.º do Decreto-Lei n.º 45/2022, de 12 de Abril, que estabelece o regime jurídico da contratação pública de bens e serviços.</w:t>
        <w:br/>
        <w:br/>
        <w:t>O referido acórdão determina que a norma em questão viola os princípios fundamentais da igualdade e da transparência na contratação pública, consagrados na Constituição da República Portuguesa. Assim, a partir desta data, a norma declarada inconstitucional deixa de ter efeitos, sendo a sua observância considerada vinculativa para todos os órgãos e entidades da Administração Pública e para todos os cidadãos.</w:t>
        <w:br/>
        <w:br/>
        <w:t xml:space="preserve">**DESPACHO**  </w:t>
        <w:br/>
        <w:br/>
        <w:t xml:space="preserve">1. **Envio aos Órgãos Competentes**  </w:t>
        <w:br/>
        <w:t xml:space="preserve">   Dê-se conhecimento do presente despacho às seguintes entidades:  </w:t>
        <w:br/>
        <w:t xml:space="preserve">   - Direção-Geral de Contratação Pública  </w:t>
        <w:br/>
        <w:t xml:space="preserve">   - Inspeção-Geral da Administração Pública  </w:t>
        <w:br/>
        <w:t xml:space="preserve">   - Tribunal de Contas  </w:t>
        <w:br/>
        <w:t xml:space="preserve">   - Associações representativas dos Municípios e das Comunidades Intermunicipais.</w:t>
        <w:br/>
        <w:br/>
        <w:t xml:space="preserve">2. **Publicação**  </w:t>
        <w:br/>
        <w:t xml:space="preserve">   Determina-se a publicação do presente despacho no Diário da República, no prazo máximo de cinco dias úteis.</w:t>
        <w:br/>
        <w:br/>
        <w:t xml:space="preserve">3. **Acompanhamento**  </w:t>
        <w:br/>
        <w:t xml:space="preserve">   Solicita-se à Direção-Geral de Contratação Pública que proceda à revisão das disposições regulamentares afetadas pela decisão do Tribunal Constitucional, com vista à adaptação ao novo quadro normativo.</w:t>
        <w:br/>
        <w:br/>
        <w:t xml:space="preserve">4. **Informação Adicional**  </w:t>
        <w:br/>
        <w:t xml:space="preserve">   Para quaisquer informações adicionais, as entidades competentes devem dirigir-se a este Gabinete.</w:t>
        <w:br/>
        <w:br/>
        <w:t xml:space="preserve">**ASSINATURA**  </w:t>
        <w:br/>
        <w:br/>
        <w:t xml:space="preserve">_________________________________________________  </w:t>
        <w:br/>
        <w:t xml:space="preserve">Secretário de Estado da Justiça  </w:t>
        <w:br/>
        <w:t xml:space="preserve">[Nome do Secretário]  </w:t>
        <w:br/>
        <w:t xml:space="preserve">[Contactos]  </w:t>
        <w:br/>
        <w:t xml:space="preserve">[Endereço]  </w:t>
        <w:br/>
        <w:br/>
        <w:t>---</w:t>
        <w:br/>
        <w:br/>
        <w:t>**Nota**: Este documento é confidencial e destina-se exclusivamente ao uso interno das entidades mencionadas. A sua divulgação não autorizada é estritamente proibida.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