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#357</w:t>
      </w:r>
    </w:p>
    <w:p>
      <w:r>
        <w:t xml:space="preserve">**GOVERNO DA REPÚBLICA**  </w:t>
        <w:br/>
        <w:t xml:space="preserve">**MINISTÉRIO DA JUSTIÇA**  </w:t>
        <w:br/>
        <w:t xml:space="preserve">**DIREÇÃO-GERAL DE POLÍTICAS JURÍDICAS**  </w:t>
        <w:br/>
        <w:br/>
        <w:t xml:space="preserve">**DE:** Direção-Geral de Políticas Jurídicas  </w:t>
        <w:br/>
        <w:t xml:space="preserve">**ASSUNTO:** Instruções para a Aplicação do Decreto-Lei n.º 45/2023, de 15 de Março  </w:t>
        <w:br/>
        <w:t xml:space="preserve">**DATA:** 20 de Outubro de 2023  </w:t>
        <w:br/>
        <w:br/>
        <w:t>---</w:t>
        <w:br/>
        <w:br/>
        <w:t xml:space="preserve">**INFORMAÇÃO**  </w:t>
        <w:br/>
        <w:br/>
        <w:t>Na sequência da publicação do Decreto-Lei n.º 45/2023, que estabelece novas diretrizes sobre a proteção de dados pessoais no âmbito das entidades públicas, esta Direção-Geral emite as seguintes instruções para a sua correta aplicação pelos órgãos e agentes responsáveis.</w:t>
        <w:br/>
        <w:br/>
        <w:t xml:space="preserve">**1. OBJETIVO**  </w:t>
        <w:br/>
        <w:t>O presente documento visa esclarecer o sentido e a aplicação das normas estabelecidas no referido Decreto-Lei, assegurando a sua correta interpretação e a uniformidade na aplicação das disposições legais.</w:t>
        <w:br/>
        <w:br/>
        <w:t xml:space="preserve">**2. CONTEXTO LEGISLATIVO**  </w:t>
        <w:br/>
        <w:t>O Decreto-Lei n.º 45/2023 foi adotado em consonância com o Regulamento (UE) 2016/679, do Parlamento Europeu e do Conselho, de 27 de abril de 2016, relativo à proteção das pessoas singulares no que diz respeito ao tratamento de dados pessoais e à livre circulação desses dados.</w:t>
        <w:br/>
        <w:br/>
        <w:t xml:space="preserve">**3. INSTRUÇÕES GERAIS**  </w:t>
        <w:br/>
        <w:t xml:space="preserve">3.1. As entidades públicas devem assegurar a implementação das medidas técnicas e organizativas adequadas para proteger os dados pessoais, conforme estabelecido no artigo 32.º do Decreto-Lei.  </w:t>
        <w:br/>
        <w:t xml:space="preserve">3.2. Os responsáveis pelo tratamento de dados devem realizar avaliações de impacto sobre a proteção de dados, sempre que o tratamento possa resultar em alto risco para os direitos e liberdades das pessoas singulares, conforme o estabelecido no artigo 35.º.  </w:t>
        <w:br/>
        <w:t>3.3. É imprescindível que os titulares dos dados sejam informados sobre os seus direitos e sobre o tratamento a que os seus dados pessoais estão sujeitos, em conformidade com o artigo 13.º.</w:t>
        <w:br/>
        <w:br/>
        <w:t xml:space="preserve">**4. ORIENTAÇÕES PRÁTICAS**  </w:t>
        <w:br/>
        <w:t xml:space="preserve">4.1. Recomenda-se a elaboração de um relatório de conformidade que inclua a descrição dos tratamentos de dados, as finalidades do tratamento e as medidas de segurança implementadas.  </w:t>
        <w:br/>
        <w:t xml:space="preserve">4.2. As entidades devem disponibilizar canais de comunicação eficazes para que os titulares possam exercer os seus direitos de acesso, retificação, apagamento e limitação do tratamento.  </w:t>
        <w:br/>
        <w:t>4.3. Sugere-se a realização de sessões de formação para todos os colaboradores envolvidos no tratamento de dados pessoais, a fim de garantir que todos compreendam as suas obrigações e responsabilidades.</w:t>
        <w:br/>
        <w:br/>
        <w:t xml:space="preserve">**5. ESQUEMAS SINTETIZADORES**  </w:t>
        <w:br/>
        <w:t>Anexa-se ao presente documento um esquema gráfico que sintetiza as principais obrigações estabelecidas pelo Decreto-Lei n.º 45/2023, facilitando a sua compreensão e aplicação.</w:t>
        <w:br/>
        <w:br/>
        <w:t xml:space="preserve">**6. COMUNICAÇÃO**  </w:t>
        <w:br/>
        <w:t>As entidades e órgãos responsáveis pela aplicação das instruções devem dar conhecimento das mesmas a todos os colaboradores envolvidos no tratamento de dados pessoais, assegurando que a informação seja amplamente divulgada e acessível.</w:t>
        <w:br/>
        <w:br/>
        <w:t xml:space="preserve">**DESPACHO**  </w:t>
        <w:br/>
        <w:t>Determina-se que as instruções aqui apresentadas entrem em vigor imediatamente e sejam aplicadas a todos os serviços sob a alçada do Ministério da Justiça. As entidades são incentivadas a reportar quaisquer dificuldades na implementação das orientações, bem como a sugerir melhorias para futuras instruções.</w:t>
        <w:br/>
        <w:br/>
        <w:t xml:space="preserve">**Lisboa, 20 de Outubro de 2023**  </w:t>
        <w:br/>
        <w:br/>
        <w:t xml:space="preserve">**[Assinatura]**  </w:t>
        <w:br/>
        <w:t xml:space="preserve">**Diretor-Geral de Políticas Jurídicas**  </w:t>
        <w:br/>
        <w:t xml:space="preserve">**Ministério da Justiça**  </w:t>
        <w:br/>
        <w:br/>
        <w:t>**ANEXO: Esquema Sintetizador das Obrigações do Decreto-Lei n.º 45/2023**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