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#358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br/>
        <w:t xml:space="preserve">**N.º 123/2023**  </w:t>
        <w:br/>
        <w:t xml:space="preserve">**DATA:** 15 de Outubro de 2023  </w:t>
        <w:br/>
        <w:br/>
        <w:t>**ASSUNTO:** Comunicação de Decisão do Tribunal Constitucional</w:t>
        <w:br/>
        <w:br/>
        <w:t>---</w:t>
        <w:br/>
        <w:br/>
        <w:t xml:space="preserve">**DESTINATÁRIOS:**  </w:t>
        <w:br/>
        <w:t xml:space="preserve">- Assembleia da República  </w:t>
        <w:br/>
        <w:t xml:space="preserve">- Ministério da Administração Interna  </w:t>
        <w:br/>
        <w:t xml:space="preserve">- Ministério da Educação  </w:t>
        <w:br/>
        <w:t xml:space="preserve">- Ministério da Saúde  </w:t>
        <w:br/>
        <w:t xml:space="preserve">- Tribunal de Contas  </w:t>
        <w:br/>
        <w:t xml:space="preserve">- Direcções Regionais e Municipais dos Serviços da Administração Pública  </w:t>
        <w:br/>
        <w:br/>
        <w:t xml:space="preserve">**INFORMAÇÃO:**  </w:t>
        <w:br/>
        <w:br/>
        <w:t>Nos termos do disposto no artigo 282.º, n.º 2 da Constituição da República Portuguesa, e de acordo com o acórdão proferido pelo Tribunal Constitucional, no processo n.º 456/2023, datado de 10 de Outubro de 2023, comunica-se a declaração de inconstitucionalidade da norma constante do artigo 5.º da Lei n.º 12/2021, que estabelece disposições sobre a gestão de recursos hídricos e sua utilização em actividades agrícolas.</w:t>
        <w:br/>
        <w:br/>
        <w:t>O Tribunal Constitucional, após apreciação da norma em causa, concluiu que a mesma viola princípios fundamentais consagrados na Constituição, nomeadamente o direito à igualdade e o direito à proteção do ambiente. Esta decisão implica que a norma mencionada não pode ser aplicada, considerando-se, portanto, sem efeito.</w:t>
        <w:br/>
        <w:br/>
        <w:t>A presente comunicação deve ser considerada por todos os serviços, organismos e entidades públicas, que têm a obrigação de observar e respeitar o conteúdo desta decisão, tendo em vista a sua conformidade com a ordem constitucional vigente.</w:t>
        <w:br/>
        <w:br/>
        <w:t xml:space="preserve">**DESPACHO:**  </w:t>
        <w:br/>
        <w:br/>
        <w:t>Determina-se a publicação deste acórdão em Diário da República, bem como a notificação dos órgãos e entidades competentes para que tomem as devidas providências e ajustes necessários em suas actuações.</w:t>
        <w:br/>
        <w:br/>
        <w:t>Para os efeitos legais, solicita-se a divulgação desta informação junto de todos os serviços e organismos que possam ser impactados pela referida declaração de inconstitucionalidade.</w:t>
        <w:br/>
        <w:br/>
        <w:t xml:space="preserve">**ASSINATURA:**  </w:t>
        <w:br/>
        <w:t xml:space="preserve">[Assinatura Digital]  </w:t>
        <w:br/>
        <w:t xml:space="preserve">**Dr. João Almeida**  </w:t>
        <w:br/>
        <w:t xml:space="preserve">**Director-Geral da Administração da Justiça**  </w:t>
        <w:br/>
        <w:t xml:space="preserve">**Ministério da Justiça**  </w:t>
        <w:br/>
        <w:br/>
        <w:t xml:space="preserve">**C.c.:**  </w:t>
        <w:br/>
        <w:t xml:space="preserve">- Gabinete do Primeiro-Ministro  </w:t>
        <w:br/>
        <w:t xml:space="preserve">- Procuradoria-Geral da República  </w:t>
        <w:br/>
        <w:t xml:space="preserve">- Associações de Municípios  </w:t>
        <w:br/>
        <w:t xml:space="preserve">- Ordem dos Advogados  </w:t>
        <w:br/>
        <w:t xml:space="preserve">- Imprensa Nacional  </w:t>
        <w:br/>
        <w:br/>
        <w:t xml:space="preserve">---  </w:t>
        <w:br/>
        <w:br/>
        <w:t>**[Nota: Este documento é fictício e elaborado para fins de exemplo, não refletindo qualquer situação ou entidade real.]**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