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#367</w:t>
      </w:r>
    </w:p>
    <w:p>
      <w:r>
        <w:t xml:space="preserve">**Ministério da Ciência, Tecnologia e Ensino Superior**  </w:t>
        <w:br/>
        <w:t xml:space="preserve">**Direção-Geral de Normalização Técnica**  </w:t>
        <w:br/>
        <w:t xml:space="preserve">**Av. da Inovação, nº 100**  </w:t>
        <w:br/>
        <w:t xml:space="preserve">**1000-000 Lisboa**  </w:t>
        <w:br/>
        <w:t xml:space="preserve">**Tel: +351 21 000 0000**  </w:t>
        <w:br/>
        <w:t xml:space="preserve">**Email: dgnt@gov.pt**  </w:t>
        <w:br/>
        <w:br/>
        <w:t>---</w:t>
        <w:br/>
        <w:br/>
        <w:t xml:space="preserve">**DE:** Direção-Geral de Normalização Técnica  </w:t>
        <w:br/>
        <w:t xml:space="preserve">**ASSUNTO:** Elaboração da Norma Técnica para Sistemas de Gestão da Qualidade em Laboratórios de Análise  </w:t>
        <w:br/>
        <w:t xml:space="preserve">**DATA:** 15 de março de 2024  </w:t>
        <w:br/>
        <w:br/>
        <w:t>---</w:t>
        <w:br/>
        <w:br/>
        <w:t>**INFORMAÇÃO:**</w:t>
        <w:br/>
        <w:br/>
        <w:t>Tendo em vista a crescente necessidade de uniformização e padronização dos procedimentos nos laboratórios de análise, a Direção-Geral de Normalização Técnica determina a elaboração de uma norma técnica que regule os sistemas de gestão da qualidade aplicáveis a esta área. Este documento normativo visa estabelecer diretrizes claras e acessíveis, promovendo a eficiência e a fiabilidade dos serviços prestados pelos laboratórios.</w:t>
        <w:br/>
        <w:br/>
        <w:t>**I. Identificação da Necessidade:**</w:t>
        <w:br/>
        <w:br/>
        <w:t>A necessidade de uma norma técnica surge da análise dos atuais procedimentos utilizados nos laboratórios de análise, que revelaram divergências significativas nas práticas de gestão da qualidade. Estas diferenças comprometem a confiança nas análises realizadas e podem levar a resultados inconsistentes. Assim, é imperativo criar um padrão que assegure a qualidade e a credibilidade dos serviços laboratoriais.</w:t>
        <w:br/>
        <w:br/>
        <w:t>**II. Processo de Elaboração:**</w:t>
        <w:br/>
        <w:br/>
        <w:t xml:space="preserve">1. **Formação da Comissão Técnica:**  </w:t>
        <w:br/>
        <w:t xml:space="preserve">   Será constituída uma Comissão Técnica composta por representantes dos laboratórios de análise, especialistas em gestão da qualidade e técnicos da Direção-Geral de Normalização Técnica.</w:t>
        <w:br/>
        <w:br/>
        <w:t xml:space="preserve">2. **Elaboração do Documento Normativo:**  </w:t>
        <w:br/>
        <w:t xml:space="preserve">   A Comissão Técnica será responsável pela redação do documento, que incluirá a definição dos princípios básicos de um sistema de gestão da qualidade, bem como requisitos específicos a serem seguidos pelos laboratórios.</w:t>
        <w:br/>
        <w:br/>
        <w:t xml:space="preserve">3. **Consulta Pública:**  </w:t>
        <w:br/>
        <w:t xml:space="preserve">   Após a redação inicial, o documento será submetido a consulta pública, permitindo a recolha de contribuições e sugestões de todos os intervenientes relevantes, nomeadamente profissionais da área, associações setoriais e entidades reguladoras.</w:t>
        <w:br/>
        <w:br/>
        <w:t xml:space="preserve">4. **Análise dos Contributos:**  </w:t>
        <w:br/>
        <w:t xml:space="preserve">   Os contributos recebidos durante a consulta pública serão analisados e, se pertinente, incorporados na versão final do documento normativo.</w:t>
        <w:br/>
        <w:br/>
        <w:t xml:space="preserve">5. **Redação Final e Publicação:**  </w:t>
        <w:br/>
        <w:t xml:space="preserve">   A versão final da norma será redigida e enviada para publicação no Diário da República, bem como divulgada através dos canais institucionais da Direção-Geral de Normalização Técnica.</w:t>
        <w:br/>
        <w:br/>
        <w:t>**III. Prazo de Execução:**</w:t>
        <w:br/>
        <w:br/>
        <w:t>O prazo para a conclusão deste processo, desde a constituição da Comissão Técnica até à publicação da norma, é de seis meses, prevendo-se a finalização para setembro de 2024.</w:t>
        <w:br/>
        <w:br/>
        <w:t>**IV. Responsáveis:**</w:t>
        <w:br/>
        <w:br/>
        <w:t>O acompanhamento deste processo ficará a cargo da Divisão de Normalização e Qualidade, sob a supervisão da Direção-Geral de Normalização Técnica.</w:t>
        <w:br/>
        <w:br/>
        <w:t>---</w:t>
        <w:br/>
        <w:br/>
        <w:t>**DESPACHO:**</w:t>
        <w:br/>
        <w:br/>
        <w:t>Determino que se proceda à constituição da Comissão Técnica referida e ao início do processo de elaboração da norma técnica conforme os passos descritos, garantindo a participação de todas as partes interessadas. Solicito ainda que sejam enviados relatórios periódicos sobre o andamento do processo.</w:t>
        <w:br/>
        <w:br/>
        <w:t>Lisboa, 15 de março de 2024</w:t>
        <w:br/>
        <w:br/>
        <w:t xml:space="preserve">**(Assinatura)**  </w:t>
        <w:br/>
        <w:t xml:space="preserve">**Dr. João Silva**  </w:t>
        <w:br/>
        <w:t xml:space="preserve">**Diretor-Geral**  </w:t>
        <w:br/>
        <w:t xml:space="preserve">**Ministério da Ciência, Tecnologia e Ensino Superior**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