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#390</w:t>
      </w:r>
    </w:p>
    <w:p>
      <w:r>
        <w:t xml:space="preserve">**DE**: Tribunal da Relação de Lisboa  </w:t>
        <w:br/>
        <w:t xml:space="preserve">**ASSUNTO**: Acórdão de Uniformização de Jurisprudência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artigo 7.º do Regimento do Tribunal da Relação de Lisboa e em conformidade com os princípios que regem a uniformização da jurisprudência, foi dado início ao processo de análise do pedido de orientação jurisprudencial uniformizada, apresentado por diversas entidades, no que se refere à aplicação do artigo 405.º do Código Civil, relativamente à questão da validade de contratos celebrados sob coação.</w:t>
        <w:br/>
        <w:br/>
        <w:t xml:space="preserve">**1. CONTEXTO**  </w:t>
        <w:br/>
        <w:t>O pedido foi apresentado em virtude da divergência de soluções proferidas em acórdãos anteriores, onde se identificaram posições contraditórias sobre a interpretação da norma mencionada. A análise das decisões em causa evidenciou a necessidade de esclarecer a aplicação da legislação em situações concretas, a fim de garantir a segurança jurídica e a igualdade no tratamento de casos semelhantes.</w:t>
        <w:br/>
        <w:br/>
        <w:t xml:space="preserve">**2. ALEGACOES**  </w:t>
        <w:br/>
        <w:t>As partes interessadas foram convocadas para apresentar alegações, as quais foram devidamente registadas nos autos. Os argumentos apresentados incluem a invocação de diferentes entendimentos acerca da natureza da coação e os seus efeitos sobre a vontade dos contratantes, bem como a necessidade de proteção dos direitos dos consumidores.</w:t>
        <w:br/>
        <w:br/>
        <w:t xml:space="preserve">**3. CONFERÊNCIA PARA ADMISSIBILIDADE DO PEDIDO**  </w:t>
        <w:br/>
        <w:t>Após a análise das alegações apresentadas, foi realizada uma conferência para averiguar a admissibilidade do pedido, na qual participaram os juízes designados. Ao final, foi decidido admitir o pedido, considerando que a questão em apreço reveste-se de relevância social e jurídica.</w:t>
        <w:br/>
        <w:br/>
        <w:t xml:space="preserve">**4. JULGAMENTO**  </w:t>
        <w:br/>
        <w:t>O julgamento do acórdão ocorreu em 10 de outubro de 2023, tendo sido proferida uma decisão que unifica a interpretação da norma relativa à coação, estabelecendo critérios claros para a sua aplicação. O acórdão, que se considera de interesse público, visa proporcionar uma linha orientadora para a resolução de litígios futuros.</w:t>
        <w:br/>
        <w:br/>
        <w:t xml:space="preserve">**5. PUBLICAÇÃO DA DECISÃO**  </w:t>
        <w:br/>
        <w:t>O acórdão será publicado no Diário da República e será objeto de divulgação nas plataformas digitais do Tribunal da Relação de Lisboa, com o propósito de assegurar o amplo conhecimento da orientação jurisprudencial estabelecida.</w:t>
        <w:br/>
        <w:br/>
        <w:t xml:space="preserve">**DESPACHO**  </w:t>
        <w:br/>
        <w:t>Determino que se proceda à publicação do presente acórdão e que se notifique as partes envolvidas, bem como os demais tribunais, para que tomem conhecimento da decisão uniformizadora e a apliquem nos casos subsequentes.</w:t>
        <w:br/>
        <w:br/>
        <w:t xml:space="preserve">Lisboa, 15 de outubro de 2023.  </w:t>
        <w:br/>
        <w:br/>
        <w:t xml:space="preserve">**O Juiz Relator**  </w:t>
        <w:br/>
        <w:t xml:space="preserve">[Nome do Juiz]  </w:t>
        <w:br/>
        <w:t xml:space="preserve">Tribunal da Relação de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