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#417</w:t>
      </w:r>
    </w:p>
    <w:p>
      <w:r>
        <w:t xml:space="preserve">**DE:** Direção de Normas e Regulamentações  </w:t>
        <w:br/>
        <w:t xml:space="preserve">**ASSUNTO:** Parecer Técnico sobre a interpretação da Norma Técnica N.º 45/2023  </w:t>
        <w:br/>
        <w:t xml:space="preserve">**DATA:** 15 de Outubro de 2023  </w:t>
        <w:br/>
        <w:br/>
        <w:t xml:space="preserve">**INFORMAÇÃO:**  </w:t>
        <w:br/>
        <w:br/>
        <w:t>Nos termos da solicitação recebida em 10 de Outubro de 2023, e considerando a necessidade de esclarecer a aplicação da Norma Técnica N.º 45/2023, a qual versa sobre as diretrizes para a gestão de resíduos sólidos urbanos, a Direção de Normas e Regulamentações procedeu à análise da referida norma e à elaboração do presente parecer técnico.</w:t>
        <w:br/>
        <w:br/>
        <w:t>O objetivo deste parecer é proporcionar uma interpretação clara e objetiva das disposições contidas na norma, a fim de facilitar a sua aplicação por parte das entidades responsáveis pela gestão de resíduos e assegurar a conformidade com os princípios estabelecidos.</w:t>
        <w:br/>
        <w:br/>
        <w:t xml:space="preserve">**1. Contextualização**  </w:t>
        <w:br/>
        <w:t>A Norma Técnica N.º 45/2023 foi criada com o intuito de regulamentar a gestão de resíduos sólidos urbanos, definindo responsabilidades, procedimentos e penalidades associadas ao não cumprimento das diretrizes estabelecidas. Sua aplicação é fundamental para garantir a sustentabilidade ambiental e a saúde pública.</w:t>
        <w:br/>
        <w:br/>
        <w:t xml:space="preserve">**2. Elementos Consultados**  </w:t>
        <w:br/>
        <w:t xml:space="preserve">Para a elaboração deste parecer, foram consultados os seguintes documentos:  </w:t>
        <w:br/>
        <w:t xml:space="preserve">- A Norma Técnica N.º 45/2023  </w:t>
        <w:br/>
        <w:t xml:space="preserve">- Relatórios de fiscalização anteriores  </w:t>
        <w:br/>
        <w:t xml:space="preserve">- Pareceres técnicos anteriores sobre a gestão de resíduos  </w:t>
        <w:br/>
        <w:t>- Contribuições de especialistas da área ambiental</w:t>
        <w:br/>
        <w:br/>
        <w:t xml:space="preserve">**3. Interpretação da Norma**  </w:t>
        <w:br/>
        <w:t xml:space="preserve">A análise realizada permitiu concluir que:  </w:t>
        <w:br/>
        <w:t xml:space="preserve">- O artigo 3.º, alínea b, que impõe a obrigação de triagem dos resíduos na fonte, deve ser interpretado como uma ação obrigatória e não meramente recomendativa, visando a redução da quantidade de resíduos destinados a aterros sanitários.  </w:t>
        <w:br/>
        <w:t>- As penalidades previstas no artigo 5.º devem ser aplicadas de forma proporcional à gravidade da infração, respeitando o princípio da legalidade e o direito ao contraditório e à ampla defesa.</w:t>
        <w:br/>
        <w:br/>
        <w:t xml:space="preserve">**4. Recomendações**  </w:t>
        <w:br/>
        <w:t xml:space="preserve">- Sugere-se a realização de campanhas de sensibilização junto à população sobre a importância da triagem dos resíduos.  </w:t>
        <w:br/>
        <w:t>- Recomenda-se o fortalecimento da capacitação das equipes responsáveis pela fiscalização, para garantir a correta aplicação das disposições da norma.</w:t>
        <w:br/>
        <w:br/>
        <w:t xml:space="preserve">**DESPACHO:**  </w:t>
        <w:br/>
        <w:t>Em face do exposto, este parecer técnico será encaminhado às entidades competentes para que as orientações aqui contidas sejam consideradas na implementação da Norma Técnica N.º 45/2023. A Direção de Normas e Regulamentações permanece à disposição para qualquer esclarecimento adicional que se faça necessário.</w:t>
        <w:br/>
        <w:br/>
        <w:t xml:space="preserve">**AUTOR:**  </w:t>
        <w:br/>
        <w:t xml:space="preserve">[Nome do Responsável]  </w:t>
        <w:br/>
        <w:t xml:space="preserve">[Cargo do Responsável]  </w:t>
        <w:br/>
        <w:t xml:space="preserve">Direção de Normas e Regulamentações  </w:t>
        <w:br/>
        <w:t xml:space="preserve">[Assinatura]  </w:t>
        <w:br/>
        <w:t xml:space="preserve">[Contactos]  </w:t>
        <w:br/>
        <w:br/>
        <w:t xml:space="preserve">**CÓPIAS:**  </w:t>
        <w:br/>
        <w:t xml:space="preserve">- Arquivo  </w:t>
        <w:br/>
        <w:t xml:space="preserve">- [Nome da entidade solicitante]  </w:t>
        <w:br/>
        <w:t xml:space="preserve">- [Outras entidades relevantes] 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