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#420</w:t>
      </w:r>
    </w:p>
    <w:p>
      <w:r>
        <w:t>**GOVERNO DA REPÚBLICA**</w:t>
        <w:br/>
        <w:br/>
        <w:t>**MINISTÉRIO DA ADMINISTRAÇÃO INTERNA**</w:t>
        <w:br/>
        <w:br/>
        <w:t>**DEPARTAMENTO DE REGULAMENTAÇÃO E NORMATIVA**</w:t>
        <w:br/>
        <w:br/>
        <w:t>**DATA:** 15 de março de 2024</w:t>
        <w:br/>
        <w:br/>
        <w:t>**ASSUNTO:** Criação do Regulamento de Segurança e Ordem Pública</w:t>
        <w:br/>
        <w:br/>
        <w:t>**INFORMAÇÃO:**</w:t>
        <w:br/>
        <w:br/>
        <w:t>Nos termos do disposto na Lei n.º 123/2022, de 10 de abril, que estabelece o regime jurídico da segurança e ordem pública, apresentamos para apreciação e aprovação o projeto de regulamento que visa a definição de medidas e procedimentos a serem adotados em situações de emergência, bem como a organização das forças de segurança e entidades envolvidas na proteção da população.</w:t>
        <w:br/>
        <w:br/>
        <w:t>O presente regulamento tem como objetivo principal garantir uma resposta eficaz e coordenada em situações de risco, assegurando a proteção da vida e da integridade física dos cidadãos. Para tal, o regulamento propõe a criação de um sistema de alerta e comunicação, bem como a definição de responsabilidades e competências das diversas entidades envolvidas.</w:t>
        <w:br/>
        <w:br/>
        <w:t>**DESPACHO:**</w:t>
        <w:br/>
        <w:br/>
        <w:t>Após análise preliminar do projeto de regulamento, e considerando as orientações emanadas pelos serviços jurídicos deste Ministério, determino:</w:t>
        <w:br/>
        <w:br/>
        <w:t>1. A realização de uma consulta pública sobre o projeto de regulamento, a ser efetivada no período de 30 dias, a contar da data da publicação do aviso no Diário da República, a fim de permitir a participação da sociedade civil e dos órgãos de comunicação social.</w:t>
        <w:br/>
        <w:br/>
        <w:t>2. A elaboração de um parecer jurídico definitivo, a ser apresentado após a fase de consulta pública, que incluirá as contribuições recebidas e as alterações propostas ao texto inicial.</w:t>
        <w:br/>
        <w:br/>
        <w:t>3. A formalização do regulamento, após a apreciação das alterações, a ser submetido à aprovação do Conselho de Ministros, para posterior publicitação.</w:t>
        <w:br/>
        <w:br/>
        <w:t>4. A divulgação do projeto nas plataformas oficiais do Ministério da Administração Interna, bem como nas redes sociais, com o intuito de garantir a máxima transparência e acessibilidade à informação.</w:t>
        <w:br/>
        <w:br/>
        <w:t>**ASSINATURA:**</w:t>
        <w:br/>
        <w:br/>
        <w:t>[Assinatura digital]</w:t>
        <w:br/>
        <w:br/>
        <w:t>**Dr. João Mendes**</w:t>
        <w:br/>
        <w:br/>
        <w:t>**Diretor do Departamento de Regulamentação e Normativa**</w:t>
        <w:br/>
        <w:br/>
        <w:t>**MINISTÉRIO DA ADMINISTRAÇÃO INTERNA**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