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#427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**N.º 123/2023**  </w:t>
        <w:br/>
        <w:t xml:space="preserve">**Lisboa, 15 de outubro de 2023**  </w:t>
        <w:br/>
        <w:br/>
        <w:t xml:space="preserve">**ASSUNTO:** Aprovação e comunicação da Convenção sobre a Proteção dos Direitos de Todos os Trabalhadores Migrantes e Membros das Suas Famílias  </w:t>
        <w:br/>
        <w:br/>
        <w:t xml:space="preserve">**INFORMAÇÃO:**  </w:t>
        <w:br/>
        <w:br/>
        <w:t xml:space="preserve">1. **Contexto:**  </w:t>
        <w:br/>
        <w:t xml:space="preserve">   No âmbito da promoção e proteção dos direitos humanos, o Estado Português manifestou a sua intenção de aderir à Convenção sobre a Proteção dos Direitos de Todos os Trabalhadores Migrantes e Membros das Suas Famílias, adotada pelas Nações Unidas em 18 de dezembro de 1990.</w:t>
        <w:br/>
        <w:br/>
        <w:t xml:space="preserve">2. **Necessidade de Vinculação:**  </w:t>
        <w:br/>
        <w:t xml:space="preserve">   A adesão a este instrumento internacional é considerada fundamental para o alinhamento das políticas nacionais de imigração com os padrões internacionais, assegurando a proteção dos direitos dos trabalhadores migrantes e suas famílias.</w:t>
        <w:br/>
        <w:br/>
        <w:t xml:space="preserve">3. **Parecer do MNE:**  </w:t>
        <w:br/>
        <w:t xml:space="preserve">   O Ministério dos Negócios Estrangeiros, através do parecer n.º 456/2023, datado de 5 de outubro de 2023, considera que a ratificação da referida convenção é vantajosa para o Estado Português, reforçando o compromisso com os direitos humanos e a dignidade do trabalho.</w:t>
        <w:br/>
        <w:br/>
        <w:t xml:space="preserve">4. **Aprovação Governamental:**  </w:t>
        <w:br/>
        <w:t xml:space="preserve">   A proposta de ratificação foi submetida ao Conselho de Ministros, tendo sido aprovada por resolução em sessão ordinária de 10 de outubro de 2023.</w:t>
        <w:br/>
        <w:br/>
        <w:t xml:space="preserve">5. **Ratificação e Assinatura:**  </w:t>
        <w:br/>
        <w:t xml:space="preserve">   O Senhor Presidente da República, em cumprimento da resolução governamental, procederá à assinatura do instrumento de ratificação no dia 20 de outubro de 2023.</w:t>
        <w:br/>
        <w:br/>
        <w:t xml:space="preserve">6. **Comunicação dos Avisos:**  </w:t>
        <w:br/>
        <w:t xml:space="preserve">   Após a ratificação, o Ministério dos Negócios Estrangeiros enviará a comunicação do depósito do instrumento de ratificação ao Secretário-Geral das Nações Unidas, conforme estabelecido no artigo 87.º da convenção.</w:t>
        <w:br/>
        <w:br/>
        <w:t xml:space="preserve">7. **Publicação:**  </w:t>
        <w:br/>
        <w:t xml:space="preserve">   A presente resolução será publicada no Diário da República, garantindo a transparência e a acessibilidade da informação à sociedade civil.</w:t>
        <w:br/>
        <w:br/>
        <w:t xml:space="preserve">**DESPACHO:**  </w:t>
        <w:br/>
        <w:t>Face ao exposto, determina-se que a Direcção-Geral dos Assuntos Internacionais proceda à elaboração do projeto de decreto de ratificação da referida convenção, bem como à preparação dos documentos necessários para a comunicação do depósito do instrumento junto da entidade competente.</w:t>
        <w:br/>
        <w:br/>
        <w:t xml:space="preserve">**Lisboa, 15 de outubro de 2023**  </w:t>
        <w:br/>
        <w:t xml:space="preserve">**O Ministro dos Negócios Estrangeiros**  </w:t>
        <w:br/>
        <w:t xml:space="preserve">**[Assinatura]**  </w:t>
        <w:br/>
        <w:t xml:space="preserve">**[Nome do Ministro]**  </w:t>
        <w:br/>
        <w:t xml:space="preserve">**[Cargo]**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