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#450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TRABALHO**  </w:t>
        <w:br/>
        <w:br/>
        <w:t xml:space="preserve">**DE:** Direção Técnica  </w:t>
        <w:br/>
        <w:t xml:space="preserve">**A:** Coordenadoria de Normas e Regulamentações  </w:t>
        <w:br/>
        <w:t xml:space="preserve">**ASSUNTO:** Orientação sobre a interpretação da Norma Técnica nº 45/2023  </w:t>
        <w:br/>
        <w:t xml:space="preserve">**DATA:** 15 de março de 2024  </w:t>
        <w:br/>
        <w:br/>
        <w:t>---</w:t>
        <w:br/>
        <w:br/>
        <w:t xml:space="preserve">**INFORMAÇÃO**  </w:t>
        <w:br/>
        <w:br/>
        <w:t>Em atendimento à solicitação da Coordenadoria de Normas e Regulamentações, datada de 10 de março de 2024, a Direção Técnica apresenta a presente orientação sobre a interpretação da Norma Técnica nº 45/2023, que estabelece diretrizes para a segurança no ambiente de trabalho em atividades de construção civil.</w:t>
        <w:br/>
        <w:br/>
        <w:t>A revisão da norma em questão surgiu da necessidade de esclarecer pontos que geravam dúvidas na aplicação prática, especialmente no que tange às obrigações dos empregadores e direitos dos trabalhadores. Para tal, foram consultados documentos técnicos, jurisprudências e pareceres anteriores, além de entrevistas com especialistas da área.</w:t>
        <w:br/>
        <w:br/>
        <w:t xml:space="preserve">**PARECER**  </w:t>
        <w:br/>
        <w:br/>
        <w:t>Após análise detalhada, conclui-se que:</w:t>
        <w:br/>
        <w:br/>
        <w:t>1. **Responsabilidade do Empregador:** A Norma Técnica nº 45/2023 estabelece que cabe ao empregador garantir um ambiente de trabalho seguro, com a implementação de medidas preventivas e de proteção adequadas. O não cumprimento das diretrizes pode resultar em penalidades administrativas e civis.</w:t>
        <w:br/>
        <w:br/>
        <w:t>2. **Direitos dos Trabalhadores:** Os trabalhadores têm o direito de exigir condições seguras e saudáveis de trabalho, podendo, inclusive, comunicar à Autoridade de Segurança e Saúde no Trabalho qualquer irregularidade. É importante ressaltar que a norma protege o direito de denúncia sem retaliação.</w:t>
        <w:br/>
        <w:br/>
        <w:t>3. **Treinamento e Capacitação:** A norma enfatiza a importância de treinamentos regulares para os colaboradores, com foco na prevenção de acidentes. Os empregadores devem manter registros atualizados das capacitações realizadas.</w:t>
        <w:br/>
        <w:br/>
        <w:t>4. **Fiscalização:** A Autoridade de Segurança e Saúde no Trabalho está autorizada a realizar fiscalizações periódicas e aleatórias para assegurar o cumprimento das disposições da norma, podendo solicitar documentação e comprovações de conformidade.</w:t>
        <w:br/>
        <w:br/>
        <w:t>5. **Revisão da Norma:** Sugerimos que, a cada dois anos, a norma seja revisada, considerando as inovações tecnológicas e as melhores práticas do setor, a fim de garantir sua eficácia e aplicabilidade.</w:t>
        <w:br/>
        <w:br/>
        <w:t xml:space="preserve">**DESPACHO**  </w:t>
        <w:br/>
        <w:br/>
        <w:t>Determina-se que a orientação ora apresentada seja divulgada junto a todos os setores e entidades empregadoras vinculadas ao Ministério do Trabalho e Segurança Social, de modo a garantir ampla compreensão e aplicação das diretrizes estabelecidas na Norma Técnica nº 45/2023.</w:t>
        <w:br/>
        <w:br/>
        <w:t>Solicita-se, ainda, que esta orientação seja anexada ao banco de dados da Direção-Geral do Trabalho, para futuras consultas e referências.</w:t>
        <w:br/>
        <w:br/>
        <w:t xml:space="preserve">**[Assinatura]**  </w:t>
        <w:br/>
        <w:t xml:space="preserve">Diretor Técnico  </w:t>
        <w:br/>
        <w:t xml:space="preserve">Direção-Geral do Trabalho  </w:t>
        <w:br/>
        <w:t xml:space="preserve">Ministério do Trabalho e Segurança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