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#466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Proposta de Lei sobre a Regulação da Mobilidade Elétrica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Nos termos do disposto na Lei n.º 123/2018, que estabelece o regime jurídico da iniciativa legislativa, e na sequência das reuniões realizadas com as entidades competentes e a consulta pública promovida, apresenta-se a proposta de lei que visa a regulação da mobilidade elétrica no território nacional.  </w:t>
        <w:br/>
        <w:br/>
        <w:t xml:space="preserve">A proposta em epígrafe surge na sequência da crescente necessidade de promover um modelo de mobilidade sustentável, que responda aos desafios climáticos, sociais e económicos atuais. A iniciativa legislativa é fundamentada nos seguintes pontos principais:  </w:t>
        <w:br/>
        <w:br/>
        <w:t xml:space="preserve">1. **Objetivos da Proposta**:  </w:t>
        <w:br/>
        <w:t xml:space="preserve">   a) Estabelecer normas para a instalação e utilização de infraestruturas de carregamento de veículos elétricos.  </w:t>
        <w:br/>
        <w:t xml:space="preserve">   b) Promover incentivos fiscais para a aquisição de veículos elétricos.  </w:t>
        <w:br/>
        <w:t xml:space="preserve">   c) Regular a utilização de espaços públicos para a implementação de postos de carregamento.  </w:t>
        <w:br/>
        <w:br/>
        <w:t xml:space="preserve">2. **Documentos Anexos**:  </w:t>
        <w:br/>
        <w:t xml:space="preserve">   a) Estudo de impacto ambiental.  </w:t>
        <w:br/>
        <w:t xml:space="preserve">   b) Relatório de consulta pública.  </w:t>
        <w:br/>
        <w:t xml:space="preserve">   c) Proposta de regulamentação específica sobre a implementação de infraestruturas.  </w:t>
        <w:br/>
        <w:br/>
        <w:t xml:space="preserve">3. **Verificação Jurídica**:  </w:t>
        <w:br/>
        <w:t xml:space="preserve">A proposta foi objeto de verificação jurídica, tendo sido apurados todos os requisitos legais e constitucionais aplicáveis. A consulta ao parecer da Comissão Técnica de Legislação foi realizada, tendo sido emitido parecer favorável.  </w:t>
        <w:br/>
        <w:br/>
        <w:t xml:space="preserve">4. **Apreciação e Discussão**:  </w:t>
        <w:br/>
        <w:t xml:space="preserve">O projeto será submetido à apreciação da Assembleia da República, onde será discutido no âmbito da Comissão de Ambiente e Ordenamento do Território. A discussão pública será agendada para o dia 5 de Novembro de 2023, de modo a garantir a participação da sociedade civil.  </w:t>
        <w:br/>
        <w:br/>
        <w:t xml:space="preserve">5. **Votação e Promulgação**:  </w:t>
        <w:br/>
        <w:t xml:space="preserve">Após a discussão, o projeto será votado em plenário. Em caso de aprovação, será enviado para promulgação pelo Senhor Presidente da República, conforme estipulado na Constituição da República Portuguesa.  </w:t>
        <w:br/>
        <w:br/>
        <w:t xml:space="preserve">**DESPACHO**  </w:t>
        <w:br/>
        <w:br/>
        <w:t xml:space="preserve">Face ao exposto, e considerando a relevância da matéria abordada, determino que a proposta de lei, acompanhada dos documentos que a fundamentam, seja enviada à Assembleia da República para os trâmites legais subsequentes.  </w:t>
        <w:br/>
        <w:br/>
        <w:t xml:space="preserve">Lisboa, 15 de Outubro de 2023  </w:t>
        <w:br/>
        <w:br/>
        <w:t xml:space="preserve">**Assinatura**  </w:t>
        <w:br/>
        <w:t xml:space="preserve">[Nome do Responsável]  </w:t>
        <w:br/>
        <w:t xml:space="preserve">Diretor-Geral da Legislação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