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DOS ASSUNTOS INTERNACIONAIS**  </w:t>
        <w:br/>
        <w:br/>
        <w:t xml:space="preserve">**DATA:** 15 de Outubro de 2023  </w:t>
        <w:br/>
        <w:t xml:space="preserve">**N.º de Processo:** 12345/2023  </w:t>
        <w:br/>
        <w:t xml:space="preserve">**ASSUNTO:** Aprovação e Comunicação da Convenção Internacional sobre Mudança Climática  </w:t>
        <w:br/>
        <w:br/>
        <w:t>---</w:t>
        <w:br/>
        <w:br/>
        <w:t>**INFORMAÇÃO**</w:t>
        <w:br/>
        <w:br/>
        <w:t>Nos termos do artigo 7.º da Lei n.º 17/2003, de 4 de Junho, que estabelece o regime jurídico da celebração de convenções internacionais, e em conformidade com o estabelecido na Resolução da Assembleia da República n.º 45/2023, datada de 10 de Outubro de 2023, a Direção-Geral dos Assuntos Internacionais do Ministério dos Negócios Estrangeiros apresenta o seguinte relatório sobre a convenção internacional em epígrafe.</w:t>
        <w:br/>
        <w:br/>
        <w:t xml:space="preserve">1. **Contexto e Justificação**  </w:t>
        <w:br/>
        <w:t>A Convenção Internacional sobre Mudança Climática foi assinada em 15 de Setembro de 2023, no âmbito da 78.ª Assembleia Geral das Nações Unidas, com o objetivo de promover ações globais para mitigar os efeitos das alterações climáticas. A adesão a este instrumento internacional é de extrema importância para o cumprimento dos compromissos assumidos por Portugal no Acordo de Paris, bem como para a salvaguarda da nossa biodiversidade e desenvolvimento sustentável.</w:t>
        <w:br/>
        <w:br/>
        <w:t xml:space="preserve">2. **Parecer do Ministério dos Negócios Estrangeiros**  </w:t>
        <w:br/>
        <w:t>O parecer favorável do Ministério dos Negócios Estrangeiros foi emitido em 12 de Outubro de 2023. Este parecer sublinha a importância estratégica da convenção e a necessidade de Portugal se posicionar como um ator responsável na luta contra as alterações climáticas. O MNE considera que a ratificação da convenção irá reforçar a imagem do país a nível internacional e contribuirá para a implementação de políticas ambientais mais rigorosas.</w:t>
        <w:br/>
        <w:br/>
        <w:t xml:space="preserve">3. **Aprovação Parlamentar**  </w:t>
        <w:br/>
        <w:t>A aprovação da convenção foi obtida na Assembleia da República, através da Resolução n.º 45/2023, que expressamente autoriza o Governo a proceder à ratificação da Convenção Internacional sobre Mudança Climática.</w:t>
        <w:br/>
        <w:br/>
        <w:t xml:space="preserve">4. **Despacho do Senhor Presidente da República**  </w:t>
        <w:br/>
        <w:t>O Senhor Presidente da República, tendo em conta a autorização legislativa, ratificou a convenção em 14 de Outubro de 2023, conforme protocolo estabelecido. A ratificação foi formalizada através da assinatura do respectivo instrumento de ratificação.</w:t>
        <w:br/>
        <w:br/>
        <w:t xml:space="preserve">5. **Comunicação e Publicação**  </w:t>
        <w:br/>
        <w:t>Nos termos do artigo 14.º da Lei n.º 17/2003, o presente documento será publicado em Diário da República, após a comunicação do aviso de depósito do instrumento de ratificação junto do Secretário-Geral das Nações Unidas, conforme estipulado pelo artigo 102.º da Carta das Nações Unidas.</w:t>
        <w:br/>
        <w:br/>
        <w:t>---</w:t>
        <w:br/>
        <w:br/>
        <w:t>**DESPACHO**</w:t>
        <w:br/>
        <w:br/>
        <w:t>Determina-se que, após a publicação em Diário da República, sejam tomadas as medidas necessárias para a implementação das obrigações decorrentes da Convenção Internacional sobre Mudança Climática, em conformidade com o regime jurídico nacional e internacional aplicável.</w:t>
        <w:br/>
        <w:br/>
        <w:t>Lisboa, 15 de Outubro de 2023.</w:t>
        <w:br/>
        <w:br/>
        <w:t xml:space="preserve">**[Assinatura]**  </w:t>
        <w:br/>
        <w:t xml:space="preserve">**[Nome do Responsável]**  </w:t>
        <w:br/>
        <w:t xml:space="preserve">**Diretor-Geral dos Assuntos Internacionais**  </w:t>
        <w:br/>
        <w:t xml:space="preserve">**Ministério dos Negócios Estrangeiros**  </w:t>
        <w:br/>
        <w:br/>
        <w:t>---</w:t>
        <w:br/>
        <w:br/>
        <w:t xml:space="preserve">**C.c.:**  </w:t>
        <w:br/>
        <w:t xml:space="preserve">- Assembleia da República  </w:t>
        <w:br/>
        <w:t xml:space="preserve">- Secretaria-Geral das Nações Unidas  </w:t>
        <w:br/>
        <w:t xml:space="preserve">- Direção-Geral do Ambiente  </w:t>
        <w:br/>
        <w:t xml:space="preserve">- Arquivo Geral do Estado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