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#476</w:t>
      </w:r>
    </w:p>
    <w:p>
      <w:r>
        <w:t xml:space="preserve">**Ministério da Infraestrutura e Desenvolvimento Sustentável**  </w:t>
        <w:br/>
        <w:t xml:space="preserve">**Direção-Geral de Normas Técnicas**  </w:t>
        <w:br/>
        <w:t xml:space="preserve">**Rua das Normas, nº 123**  </w:t>
        <w:br/>
        <w:t xml:space="preserve">**1000-000 Lisboa**  </w:t>
        <w:br/>
        <w:t xml:space="preserve">**Tel: +351 21 000 0000**  </w:t>
        <w:br/>
        <w:t xml:space="preserve">**Email: dgnt@infraestrutura.gov.pt**  </w:t>
        <w:br/>
        <w:br/>
        <w:t>---</w:t>
        <w:br/>
        <w:br/>
        <w:t xml:space="preserve">**DE:** Direção-Geral de Normas Técnicas  </w:t>
        <w:br/>
        <w:t xml:space="preserve">**ASSUNTO:** Elaboração da Norma Técnica para a Avaliação da Segurança Estrutural de Edificações  </w:t>
        <w:br/>
        <w:t xml:space="preserve">**DATA:** 15 de março de 2024  </w:t>
        <w:br/>
        <w:br/>
        <w:t>---</w:t>
        <w:br/>
        <w:br/>
        <w:t>**INFORMAÇÃO:**</w:t>
        <w:br/>
        <w:br/>
        <w:t>Considerando a crescente necessidade de assegurar a segurança estrutural das edificações em território nacional, e tendo em vista os recentes eventos sísmicos que afetaram diversas regiões, foi identificada a necessidade de elaboração de uma norma técnica que defina critérios e procedimentos a serem adotados na avaliação da segurança estrutural das construções.</w:t>
        <w:br/>
        <w:br/>
        <w:t>A presente norma visa estabelecer diretrizes que permitam a realização de avaliações rigorosas, abrangendo desde a metodologia de inspeção até a análise de riscos, garantindo assim a proteção da vida humana e a integridade patrimonial.</w:t>
        <w:br/>
        <w:br/>
        <w:t>**PROCESSO DE ELABORAÇÃO:**</w:t>
        <w:br/>
        <w:br/>
        <w:t>1. **Identificação da Necessidade:**</w:t>
        <w:br/>
        <w:t xml:space="preserve">   A Direção-Geral de Normas Técnicas, em conjunto com o Instituto de Engenharia Civil, irá compilar dados sobre incidentes relacionados à segurança das edificações e as melhores práticas internacionais.</w:t>
        <w:br/>
        <w:br/>
        <w:t>2. **Elaboração de Pareceres Técnicos:**</w:t>
        <w:br/>
        <w:t xml:space="preserve">   Serão solicitados pareceres de especialistas na área da Engenharia Civil e Arquitetura, incluindo representantes de associações profissionais e universidades. O objetivo é assegurar que a norma reflita um consenso técnico e científico.</w:t>
        <w:br/>
        <w:br/>
        <w:t>3. **Redação do Documento Normativo:**</w:t>
        <w:br/>
        <w:t xml:space="preserve">   A redação inicial será realizada por uma comissão técnica designada, que incluirá profissionais com experiência em segurança estrutural e normatização.</w:t>
        <w:br/>
        <w:br/>
        <w:t>4. **Consulta Nacional:**</w:t>
        <w:br/>
        <w:t xml:space="preserve">   Após a elaboração do documento, será promovida uma consulta pública, permitindo a participação de todas as partes interessadas, incluindo entidades reguladoras, associações de classe e o público em geral.</w:t>
        <w:br/>
        <w:br/>
        <w:t>5. **Análise dos Contributos Recebidos:**</w:t>
        <w:br/>
        <w:t xml:space="preserve">   Todos os comentários e sugestões recebidos durante a consulta serão analisados e integrados, quando pertinentes, na versão final da norma.</w:t>
        <w:br/>
        <w:br/>
        <w:t>6. **Elaboração/Redação Final do Documento Normativo:**</w:t>
        <w:br/>
        <w:t xml:space="preserve">   A versão final será redigida e revisada pela comissão técnica, de modo a garantir a clareza e aplicabilidade da norma.</w:t>
        <w:br/>
        <w:br/>
        <w:t>7. **Publicação e Publicitação:**</w:t>
        <w:br/>
        <w:t xml:space="preserve">   Concluído o processo de revisão, o documento será enviado para publicação em Diário da República, garantindo a sua oficialização e divulgação junto a todos os stakeholders envolvidos.</w:t>
        <w:br/>
        <w:br/>
        <w:t>**DESPACHO:**</w:t>
        <w:br/>
        <w:br/>
        <w:t>Determina-se que a Direção-Geral de Normas Técnicas inicie imediatamente o processo de elaboração da norma técnica, conforme os passos delineados, e que mantenha a transparência ao longo de todo o processo, assegurando que todas as partes interessadas tenham a oportunidade de contribuir.</w:t>
        <w:br/>
        <w:br/>
        <w:t>Lisboa, 15 de março de 2024.</w:t>
        <w:br/>
        <w:br/>
        <w:t xml:space="preserve">**Assinatura:**  </w:t>
        <w:br/>
        <w:t xml:space="preserve">_________________________  </w:t>
        <w:br/>
        <w:t xml:space="preserve">Diretor-Geral  </w:t>
        <w:br/>
        <w:t xml:space="preserve">Ministério da Infraestrutura e Desenvolvimento Sustentável  </w:t>
        <w:br/>
        <w:br/>
        <w:t xml:space="preserve">--- </w:t>
        <w:br/>
        <w:br/>
        <w:t xml:space="preserve">**ANEXO:**  </w:t>
        <w:br/>
        <w:t xml:space="preserve">- Cronograma de Elaboração da Norma Técnica  </w:t>
        <w:br/>
        <w:t xml:space="preserve">- Lista de Especialistas Consultados  </w:t>
        <w:br/>
        <w:t>- Formulário de Contribuições da Consulta Pública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