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#484</w:t>
      </w:r>
    </w:p>
    <w:p>
      <w:r>
        <w:t>**GOVERNO DA REPÚBLICA**</w:t>
        <w:br/>
        <w:br/>
        <w:t>**MINISTÉRIO DA JUSTIÇA**</w:t>
        <w:br/>
        <w:br/>
        <w:t>**DEPARTAMENTO DE DIREITO PÚBLICO**</w:t>
        <w:br/>
        <w:br/>
        <w:t>---</w:t>
        <w:br/>
        <w:br/>
        <w:t xml:space="preserve">**DE**: Direção-Geral de Legislação e Normas  </w:t>
        <w:br/>
        <w:t xml:space="preserve">**PARA**: Assembleia da República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>**INFORMAÇÃO**</w:t>
        <w:br/>
        <w:br/>
        <w:t>Na sequência do Acórdão n.º 200/2023, proferido pelo Tribunal Constitucional em 10 de outubro de 2023, e após a análise do conteúdo do referido acórdão, informamos que foi declarada a inconstitucionalidade da norma constante no artigo 15.º do Decreto-Lei n.º 123/2019, de 5 de setembro, que estabelece o regime jurídico de acesso e exercício da atividade de transporte em veículos ligeiros de passageiros.</w:t>
        <w:br/>
        <w:br/>
        <w:t>O Tribunal Constitucional considerou que a norma em questão viola os princípios consagrados no artigo 13.º da Constituição da República Portuguesa, relativo à igualdade e ao direito à não discriminação, por estabelecer requisitos excessivos e desproporcionais ao exercício da atividade em causa, limitando injustificadamente o acesso ao mercado.</w:t>
        <w:br/>
        <w:br/>
        <w:t>**DESPACHO**</w:t>
        <w:br/>
        <w:br/>
        <w:t>Em conformidade com o disposto na Lei n.º 28/2004, de 8 de julho, e no cumprimento das obrigações legais que nos competem, determinamos que se proceda à comunicação desta decisão aos órgãos competentes, nomeadamente:</w:t>
        <w:br/>
        <w:br/>
        <w:t>1. Secretaria de Estado dos Transportes;</w:t>
        <w:br/>
        <w:t>2. Autoridade Nacional de Segurança Rodoviária;</w:t>
        <w:br/>
        <w:t>3. Direção-Geral de Recursos Naturais, Segurança e Serviços Marítimos;</w:t>
        <w:br/>
        <w:t>4. Associação Nacional de Municípios Portugueses.</w:t>
        <w:br/>
        <w:br/>
        <w:t>Adicionalmente, solicitamos que seja promovida a publicação do presente comunicado no Diário da República, de forma a garantir a transparência e o conhecimento público da decisão proferida.</w:t>
        <w:br/>
        <w:br/>
        <w:t>**NOTAS FINAIS**</w:t>
        <w:br/>
        <w:br/>
        <w:t>Esta comunicação é realizada em estrita observância dos princípios da legalidade e da transparência, tendo em vista assegurar que os cidadãos e as entidades afetadas pela norma em causa sejam devidamente informados acerca da sua inconstitucionalidade e dos efeitos que esta decisão acarreta.</w:t>
        <w:br/>
        <w:br/>
        <w:t>Para qualquer esclarecimento adicional, estamos à disposição para prestar mais informações através do contacto habitual.</w:t>
        <w:br/>
        <w:br/>
        <w:t>---</w:t>
        <w:br/>
        <w:br/>
        <w:t xml:space="preserve">**ASSINATURA**  </w:t>
        <w:br/>
        <w:t xml:space="preserve">[Nome do responsável]  </w:t>
        <w:br/>
        <w:t xml:space="preserve">Diretor-Geral de Legislação e Normas  </w:t>
        <w:br/>
        <w:t>Ministério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