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#489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**ASSUNTO:** Proposta de Lei n.º 123/2023 – Regime Jurídico das Redes de Comunicação Electrónica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do processo legislativo em curso, e em cumprimento do estipulado na Lei n.º 45/2022, que estabelece o regime jurídico das iniciativas legislativas, a Direcção-Geral da Legislação apresenta a proposta de lei n.º 123/2023, que visa a criação de um novo regime jurídico para as redes de comunicação electrónica.</w:t>
        <w:br/>
        <w:br/>
        <w:t>A presente proposta foi elaborada com o intuito de:</w:t>
        <w:br/>
        <w:br/>
        <w:t>1. **Regulamentar** as condições de instalação e exploração das redes de comunicação electrónica, assegurando a sua interoperabilidade e segurança.</w:t>
        <w:br/>
        <w:t>2. **Promover** a concorrência no mercado das comunicações, garantindo o acesso universal e a qualidade dos serviços prestados aos cidadãos.</w:t>
        <w:br/>
        <w:t>3. **Estabelecer** um quadro normativo que permita a modernização das infraestruturas existentes e a implementação de novas tecnologias, incluindo a 5G.</w:t>
        <w:br/>
        <w:br/>
        <w:t xml:space="preserve">A proposta foi discutida em reunião do Conselho de Ministros, realizada a 10 de outubro de 2023, tendo sido aprovada por unanimidade. </w:t>
        <w:br/>
        <w:br/>
        <w:t>Adicionalmente, a Direcção-Geral da Legislação promoveu consultas públicas junto dos principais stakeholders, incluindo operadores de telecomunicações, associações de consumidores e entidades reguladoras, tendo recebido um vasto conjunto de contributos que foram integrados na versão final do documento.</w:t>
        <w:br/>
        <w:br/>
        <w:t>**DESPACHO:**</w:t>
        <w:br/>
        <w:br/>
        <w:t>Face ao exposto, e considerando a relevância da proposta para o desenvolvimento do sector das comunicações em Portugal, determino que a proposta de lei n.º 123/2023 seja submetida à apreciação da Assembleia da República, para os devidos trâmites legislativos.</w:t>
        <w:br/>
        <w:br/>
        <w:t>Mais se determina que sejam elaborados os pareceres técnicos necessários, bem como as notas explicativas que acompanham a proposta, a fim de garantir a sua adequada apreciação pelos órgãos competentes.</w:t>
        <w:br/>
        <w:br/>
        <w:t xml:space="preserve">Lisboa, 15 de outubro de 2023.  </w:t>
        <w:br/>
        <w:br/>
        <w:t xml:space="preserve">**O DIRETOR-GERAL**  </w:t>
        <w:br/>
        <w:t xml:space="preserve">[Assinatura]  </w:t>
        <w:br/>
        <w:t xml:space="preserve">Carlos Mendes  </w:t>
        <w:br/>
        <w:t xml:space="preserve">Diretor-Geral da Legislação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